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966D88" w14:textId="77777777" w:rsidR="00EA6A72" w:rsidRDefault="0089405A">
      <w:pPr>
        <w:tabs>
          <w:tab w:val="left" w:pos="360"/>
          <w:tab w:val="left" w:pos="6405"/>
        </w:tabs>
        <w:spacing w:after="80" w:line="240" w:lineRule="auto"/>
        <w:ind w:firstLine="7"/>
        <w:jc w:val="center"/>
        <w:rPr>
          <w:rFonts w:ascii="黑体" w:eastAsia="黑体" w:hAnsi="黑体"/>
          <w:sz w:val="36"/>
          <w:szCs w:val="36"/>
        </w:rPr>
      </w:pPr>
      <w:r>
        <w:rPr>
          <w:rFonts w:ascii="黑体" w:eastAsia="黑体" w:hAnsi="黑体" w:hint="eastAsia"/>
          <w:sz w:val="36"/>
          <w:szCs w:val="36"/>
        </w:rPr>
        <w:t>《金融科技创新应用声明书》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2100"/>
        <w:gridCol w:w="2129"/>
        <w:gridCol w:w="3424"/>
      </w:tblGrid>
      <w:tr w:rsidR="00EA6A72" w14:paraId="1408EB8E" w14:textId="77777777">
        <w:trPr>
          <w:trHeight w:val="442"/>
          <w:jc w:val="center"/>
        </w:trPr>
        <w:tc>
          <w:tcPr>
            <w:tcW w:w="1180" w:type="dxa"/>
            <w:vMerge w:val="restart"/>
            <w:vAlign w:val="center"/>
          </w:tcPr>
          <w:p w14:paraId="48F4F7D6"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w:t>
            </w:r>
          </w:p>
          <w:p w14:paraId="78D4A947"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基本信息</w:t>
            </w:r>
          </w:p>
        </w:tc>
        <w:tc>
          <w:tcPr>
            <w:tcW w:w="2100" w:type="dxa"/>
            <w:vAlign w:val="center"/>
          </w:tcPr>
          <w:p w14:paraId="116EEF26"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创新应用编号</w:t>
            </w:r>
          </w:p>
        </w:tc>
        <w:tc>
          <w:tcPr>
            <w:tcW w:w="5553" w:type="dxa"/>
            <w:gridSpan w:val="2"/>
            <w:vAlign w:val="center"/>
          </w:tcPr>
          <w:p w14:paraId="67D93D13"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911100001000044477-2020-0001</w:t>
            </w:r>
          </w:p>
        </w:tc>
      </w:tr>
      <w:tr w:rsidR="00EA6A72" w14:paraId="294AA9AD" w14:textId="77777777">
        <w:trPr>
          <w:trHeight w:val="454"/>
          <w:jc w:val="center"/>
        </w:trPr>
        <w:tc>
          <w:tcPr>
            <w:tcW w:w="1180" w:type="dxa"/>
            <w:vMerge/>
            <w:vAlign w:val="center"/>
          </w:tcPr>
          <w:p w14:paraId="35415E69"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27CFA1FC"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创新应用名称</w:t>
            </w:r>
          </w:p>
        </w:tc>
        <w:tc>
          <w:tcPr>
            <w:tcW w:w="5553" w:type="dxa"/>
            <w:gridSpan w:val="2"/>
            <w:vAlign w:val="center"/>
          </w:tcPr>
          <w:p w14:paraId="63861118"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5G⁺智能银行</w:t>
            </w:r>
          </w:p>
        </w:tc>
      </w:tr>
      <w:tr w:rsidR="00EA6A72" w14:paraId="7CA4AE41" w14:textId="77777777">
        <w:trPr>
          <w:trHeight w:val="454"/>
          <w:jc w:val="center"/>
        </w:trPr>
        <w:tc>
          <w:tcPr>
            <w:tcW w:w="1180" w:type="dxa"/>
            <w:vMerge/>
            <w:vAlign w:val="center"/>
          </w:tcPr>
          <w:p w14:paraId="305C112A"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570B3E64"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创新应用类型</w:t>
            </w:r>
          </w:p>
        </w:tc>
        <w:tc>
          <w:tcPr>
            <w:tcW w:w="5553" w:type="dxa"/>
            <w:gridSpan w:val="2"/>
            <w:vAlign w:val="center"/>
          </w:tcPr>
          <w:p w14:paraId="65655CC4"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金融服务</w:t>
            </w:r>
          </w:p>
        </w:tc>
      </w:tr>
      <w:tr w:rsidR="00EA6A72" w14:paraId="6FE549E1" w14:textId="77777777">
        <w:trPr>
          <w:trHeight w:val="454"/>
          <w:jc w:val="center"/>
        </w:trPr>
        <w:tc>
          <w:tcPr>
            <w:tcW w:w="1180" w:type="dxa"/>
            <w:vMerge/>
            <w:vAlign w:val="center"/>
          </w:tcPr>
          <w:p w14:paraId="54BDF8C3"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restart"/>
            <w:vAlign w:val="center"/>
          </w:tcPr>
          <w:p w14:paraId="16FD2224"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机构信息</w:t>
            </w:r>
          </w:p>
        </w:tc>
        <w:tc>
          <w:tcPr>
            <w:tcW w:w="2129" w:type="dxa"/>
            <w:vAlign w:val="center"/>
          </w:tcPr>
          <w:p w14:paraId="081375A1"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统一社会信用代码</w:t>
            </w:r>
          </w:p>
        </w:tc>
        <w:tc>
          <w:tcPr>
            <w:tcW w:w="3424" w:type="dxa"/>
            <w:vAlign w:val="center"/>
          </w:tcPr>
          <w:p w14:paraId="6D945DF4"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911100001000044477</w:t>
            </w:r>
          </w:p>
        </w:tc>
      </w:tr>
      <w:tr w:rsidR="00EA6A72" w14:paraId="6E9CAA7D" w14:textId="77777777">
        <w:trPr>
          <w:trHeight w:val="802"/>
          <w:jc w:val="center"/>
        </w:trPr>
        <w:tc>
          <w:tcPr>
            <w:tcW w:w="1180" w:type="dxa"/>
            <w:vMerge/>
            <w:vAlign w:val="center"/>
          </w:tcPr>
          <w:p w14:paraId="4A5040D6"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ign w:val="center"/>
          </w:tcPr>
          <w:p w14:paraId="03D43494" w14:textId="77777777" w:rsidR="00EA6A72" w:rsidRDefault="00EA6A72" w:rsidP="00ED5314">
            <w:pPr>
              <w:spacing w:after="0" w:line="360" w:lineRule="exact"/>
              <w:jc w:val="center"/>
              <w:rPr>
                <w:rFonts w:ascii="仿宋_GB2312" w:eastAsia="仿宋_GB2312" w:hAnsi="仿宋_GB2312" w:cs="仿宋_GB2312"/>
                <w:szCs w:val="21"/>
              </w:rPr>
            </w:pPr>
          </w:p>
        </w:tc>
        <w:tc>
          <w:tcPr>
            <w:tcW w:w="2129" w:type="dxa"/>
            <w:vAlign w:val="center"/>
          </w:tcPr>
          <w:p w14:paraId="7EF1B547" w14:textId="77777777" w:rsidR="00EA6A72" w:rsidRDefault="0089405A" w:rsidP="00ED5314">
            <w:pPr>
              <w:spacing w:after="0" w:line="360" w:lineRule="exact"/>
              <w:ind w:leftChars="-48" w:left="-108" w:rightChars="-44" w:right="-99"/>
              <w:jc w:val="center"/>
              <w:rPr>
                <w:rFonts w:ascii="仿宋_GB2312" w:eastAsia="仿宋_GB2312" w:hAnsi="仿宋_GB2312" w:cs="仿宋_GB2312"/>
                <w:szCs w:val="21"/>
              </w:rPr>
            </w:pPr>
            <w:r>
              <w:rPr>
                <w:rFonts w:ascii="仿宋_GB2312" w:eastAsia="仿宋_GB2312" w:hAnsi="仿宋_GB2312" w:cs="仿宋_GB2312" w:hint="eastAsia"/>
                <w:szCs w:val="21"/>
              </w:rPr>
              <w:t>全球法人识别编码</w:t>
            </w:r>
          </w:p>
          <w:p w14:paraId="19C468BF" w14:textId="77777777" w:rsidR="00EA6A72" w:rsidRDefault="0089405A" w:rsidP="00ED5314">
            <w:pPr>
              <w:spacing w:after="0" w:line="360" w:lineRule="exact"/>
              <w:ind w:leftChars="-48" w:left="-108" w:rightChars="-44" w:right="-99"/>
              <w:jc w:val="center"/>
              <w:rPr>
                <w:rFonts w:ascii="仿宋_GB2312" w:eastAsia="仿宋_GB2312" w:hAnsi="仿宋_GB2312" w:cs="仿宋_GB2312"/>
                <w:szCs w:val="21"/>
              </w:rPr>
            </w:pPr>
            <w:r>
              <w:rPr>
                <w:rFonts w:ascii="仿宋_GB2312" w:eastAsia="仿宋_GB2312" w:hAnsi="仿宋_GB2312" w:cs="仿宋_GB2312" w:hint="eastAsia"/>
                <w:szCs w:val="21"/>
              </w:rPr>
              <w:t>（如无，可不填）</w:t>
            </w:r>
          </w:p>
        </w:tc>
        <w:tc>
          <w:tcPr>
            <w:tcW w:w="3424" w:type="dxa"/>
            <w:vAlign w:val="center"/>
          </w:tcPr>
          <w:p w14:paraId="1EF315EB"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5493001KQW6DM7KEDR62</w:t>
            </w:r>
          </w:p>
        </w:tc>
      </w:tr>
      <w:tr w:rsidR="00EA6A72" w14:paraId="1027FDD7" w14:textId="77777777">
        <w:trPr>
          <w:trHeight w:val="215"/>
          <w:jc w:val="center"/>
        </w:trPr>
        <w:tc>
          <w:tcPr>
            <w:tcW w:w="1180" w:type="dxa"/>
            <w:vMerge/>
            <w:vAlign w:val="center"/>
          </w:tcPr>
          <w:p w14:paraId="0B45809D"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ign w:val="center"/>
          </w:tcPr>
          <w:p w14:paraId="0463BC9D" w14:textId="77777777" w:rsidR="00EA6A72" w:rsidRDefault="00EA6A72" w:rsidP="00ED5314">
            <w:pPr>
              <w:spacing w:after="0" w:line="360" w:lineRule="exact"/>
              <w:jc w:val="center"/>
              <w:rPr>
                <w:rFonts w:ascii="仿宋_GB2312" w:eastAsia="仿宋_GB2312" w:hAnsi="仿宋_GB2312" w:cs="仿宋_GB2312"/>
                <w:szCs w:val="21"/>
              </w:rPr>
            </w:pPr>
          </w:p>
        </w:tc>
        <w:tc>
          <w:tcPr>
            <w:tcW w:w="2129" w:type="dxa"/>
            <w:vAlign w:val="center"/>
          </w:tcPr>
          <w:p w14:paraId="014781A5"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机构名称</w:t>
            </w:r>
          </w:p>
        </w:tc>
        <w:tc>
          <w:tcPr>
            <w:tcW w:w="3424" w:type="dxa"/>
            <w:vAlign w:val="center"/>
          </w:tcPr>
          <w:p w14:paraId="2F4549AB"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中国建设银行股份有限公司</w:t>
            </w:r>
          </w:p>
        </w:tc>
      </w:tr>
      <w:tr w:rsidR="00EA6A72" w14:paraId="4B54E806" w14:textId="77777777">
        <w:trPr>
          <w:trHeight w:val="386"/>
          <w:jc w:val="center"/>
        </w:trPr>
        <w:tc>
          <w:tcPr>
            <w:tcW w:w="1180" w:type="dxa"/>
            <w:vMerge/>
            <w:vAlign w:val="center"/>
          </w:tcPr>
          <w:p w14:paraId="6941E27A"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ign w:val="center"/>
          </w:tcPr>
          <w:p w14:paraId="1F9A61D0" w14:textId="77777777" w:rsidR="00EA6A72" w:rsidRDefault="00EA6A72" w:rsidP="00ED5314">
            <w:pPr>
              <w:spacing w:after="0" w:line="360" w:lineRule="exact"/>
              <w:jc w:val="center"/>
              <w:rPr>
                <w:rFonts w:ascii="仿宋_GB2312" w:eastAsia="仿宋_GB2312" w:hAnsi="仿宋_GB2312" w:cs="仿宋_GB2312"/>
                <w:szCs w:val="21"/>
              </w:rPr>
            </w:pPr>
          </w:p>
        </w:tc>
        <w:tc>
          <w:tcPr>
            <w:tcW w:w="2129" w:type="dxa"/>
            <w:vAlign w:val="center"/>
          </w:tcPr>
          <w:p w14:paraId="00A7318C" w14:textId="77777777" w:rsidR="00EA6A72" w:rsidRDefault="0089405A" w:rsidP="00ED5314">
            <w:pPr>
              <w:spacing w:after="0" w:line="360" w:lineRule="exact"/>
              <w:ind w:leftChars="-48" w:left="-108" w:rightChars="-44" w:right="-99"/>
              <w:jc w:val="center"/>
              <w:rPr>
                <w:rFonts w:ascii="仿宋_GB2312" w:eastAsia="仿宋_GB2312" w:hAnsi="仿宋_GB2312" w:cs="仿宋_GB2312"/>
                <w:szCs w:val="21"/>
              </w:rPr>
            </w:pPr>
            <w:r>
              <w:rPr>
                <w:rFonts w:ascii="仿宋_GB2312" w:eastAsia="仿宋_GB2312" w:hAnsi="仿宋_GB2312" w:cs="仿宋_GB2312" w:hint="eastAsia"/>
                <w:szCs w:val="21"/>
              </w:rPr>
              <w:t>持有金融牌照信息</w:t>
            </w:r>
          </w:p>
          <w:p w14:paraId="29247831" w14:textId="77777777" w:rsidR="00EA6A72" w:rsidRDefault="0089405A" w:rsidP="00ED5314">
            <w:pPr>
              <w:spacing w:after="0" w:line="360" w:lineRule="exact"/>
              <w:ind w:leftChars="-48" w:left="-108" w:rightChars="-44" w:right="-99"/>
              <w:jc w:val="center"/>
              <w:rPr>
                <w:rFonts w:ascii="仿宋_GB2312" w:eastAsia="仿宋_GB2312" w:hAnsi="仿宋_GB2312" w:cs="仿宋_GB2312"/>
                <w:szCs w:val="21"/>
              </w:rPr>
            </w:pPr>
            <w:r>
              <w:rPr>
                <w:rFonts w:ascii="仿宋_GB2312" w:eastAsia="仿宋_GB2312" w:hAnsi="仿宋_GB2312" w:cs="仿宋_GB2312" w:hint="eastAsia"/>
                <w:szCs w:val="21"/>
              </w:rPr>
              <w:t>（如无，可不填）</w:t>
            </w:r>
          </w:p>
        </w:tc>
        <w:tc>
          <w:tcPr>
            <w:tcW w:w="3424" w:type="dxa"/>
            <w:vAlign w:val="center"/>
          </w:tcPr>
          <w:p w14:paraId="635A47C5" w14:textId="277A0BF6" w:rsidR="00F23E6C" w:rsidRPr="00F23E6C" w:rsidRDefault="00F23E6C">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牌照名称：</w:t>
            </w:r>
            <w:r w:rsidRPr="00F23E6C">
              <w:rPr>
                <w:rFonts w:ascii="仿宋_GB2312" w:eastAsia="仿宋_GB2312" w:hAnsi="仿宋_GB2312" w:cs="仿宋_GB2312" w:hint="eastAsia"/>
                <w:szCs w:val="21"/>
              </w:rPr>
              <w:t>中华人民共和国金融许可证</w:t>
            </w:r>
          </w:p>
          <w:p w14:paraId="7723A958" w14:textId="01D1A958"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机构编码：</w:t>
            </w:r>
            <w:r>
              <w:rPr>
                <w:rFonts w:ascii="仿宋_GB2312" w:eastAsia="仿宋_GB2312" w:hAnsi="仿宋_GB2312" w:cs="仿宋_GB2312"/>
                <w:szCs w:val="21"/>
              </w:rPr>
              <w:t>B0004H111000001</w:t>
            </w:r>
          </w:p>
          <w:p w14:paraId="2E248D7E" w14:textId="0C00DF3B" w:rsidR="00EA6A72" w:rsidRPr="00F23E6C" w:rsidRDefault="0089405A" w:rsidP="00ED5314">
            <w:pPr>
              <w:spacing w:after="0" w:line="360" w:lineRule="exact"/>
              <w:jc w:val="both"/>
            </w:pPr>
            <w:r>
              <w:rPr>
                <w:rFonts w:ascii="仿宋_GB2312" w:eastAsia="仿宋_GB2312" w:hAnsi="仿宋_GB2312" w:cs="仿宋_GB2312" w:hint="eastAsia"/>
                <w:szCs w:val="21"/>
              </w:rPr>
              <w:t>发证机关：</w:t>
            </w:r>
            <w:r w:rsidR="00F23E6C" w:rsidRPr="00F23E6C">
              <w:rPr>
                <w:rFonts w:ascii="仿宋_GB2312" w:eastAsia="仿宋_GB2312" w:hAnsi="仿宋_GB2312" w:cs="仿宋_GB2312" w:hint="eastAsia"/>
                <w:szCs w:val="21"/>
              </w:rPr>
              <w:t>中国银行保险监督管理委员会</w:t>
            </w:r>
          </w:p>
        </w:tc>
      </w:tr>
      <w:tr w:rsidR="00EA6A72" w14:paraId="0FADD7E3" w14:textId="77777777">
        <w:trPr>
          <w:trHeight w:val="454"/>
          <w:jc w:val="center"/>
        </w:trPr>
        <w:tc>
          <w:tcPr>
            <w:tcW w:w="1180" w:type="dxa"/>
            <w:vMerge/>
            <w:vAlign w:val="center"/>
          </w:tcPr>
          <w:p w14:paraId="13561270"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680E0783"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拟正式运营时间</w:t>
            </w:r>
          </w:p>
        </w:tc>
        <w:tc>
          <w:tcPr>
            <w:tcW w:w="5553" w:type="dxa"/>
            <w:gridSpan w:val="2"/>
            <w:vAlign w:val="center"/>
          </w:tcPr>
          <w:p w14:paraId="7D430899"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2020年6月</w:t>
            </w:r>
          </w:p>
        </w:tc>
      </w:tr>
      <w:tr w:rsidR="00EA6A72" w14:paraId="53BB84B5" w14:textId="77777777">
        <w:trPr>
          <w:trHeight w:val="527"/>
          <w:jc w:val="center"/>
        </w:trPr>
        <w:tc>
          <w:tcPr>
            <w:tcW w:w="1180" w:type="dxa"/>
            <w:vMerge/>
            <w:vAlign w:val="center"/>
          </w:tcPr>
          <w:p w14:paraId="1B3FCE26"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restart"/>
            <w:vAlign w:val="center"/>
          </w:tcPr>
          <w:p w14:paraId="79D4417F"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技术创新</w:t>
            </w:r>
          </w:p>
        </w:tc>
        <w:tc>
          <w:tcPr>
            <w:tcW w:w="2129" w:type="dxa"/>
            <w:vAlign w:val="center"/>
          </w:tcPr>
          <w:p w14:paraId="5EE1A018"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关键技术</w:t>
            </w:r>
          </w:p>
        </w:tc>
        <w:tc>
          <w:tcPr>
            <w:tcW w:w="3424" w:type="dxa"/>
            <w:vAlign w:val="center"/>
          </w:tcPr>
          <w:p w14:paraId="10C79569" w14:textId="77777777" w:rsidR="00EA6A72" w:rsidRDefault="00145E9C">
            <w:pPr>
              <w:spacing w:after="0" w:line="360" w:lineRule="exact"/>
              <w:jc w:val="both"/>
              <w:rPr>
                <w:rFonts w:ascii="仿宋_GB2312" w:eastAsia="仿宋_GB2312" w:hAnsi="仿宋_GB2312" w:cs="仿宋_GB2312"/>
                <w:szCs w:val="21"/>
              </w:rPr>
            </w:pPr>
            <w:r w:rsidRPr="00145E9C">
              <w:rPr>
                <w:rFonts w:ascii="仿宋_GB2312" w:eastAsia="仿宋_GB2312" w:hAnsi="仿宋_GB2312" w:cs="仿宋_GB2312" w:hint="eastAsia"/>
                <w:szCs w:val="21"/>
              </w:rPr>
              <w:t>5G、物联网、人工智能、大数据、生物识别等技术</w:t>
            </w:r>
          </w:p>
        </w:tc>
      </w:tr>
      <w:tr w:rsidR="00EA6A72" w14:paraId="53C40E14" w14:textId="77777777">
        <w:trPr>
          <w:trHeight w:val="1248"/>
          <w:jc w:val="center"/>
        </w:trPr>
        <w:tc>
          <w:tcPr>
            <w:tcW w:w="1180" w:type="dxa"/>
            <w:vMerge/>
            <w:vAlign w:val="center"/>
          </w:tcPr>
          <w:p w14:paraId="5BDEE9FF"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ign w:val="center"/>
          </w:tcPr>
          <w:p w14:paraId="11C3B81A" w14:textId="77777777" w:rsidR="00EA6A72" w:rsidRDefault="00EA6A72" w:rsidP="00ED5314">
            <w:pPr>
              <w:spacing w:after="0" w:line="360" w:lineRule="exact"/>
              <w:jc w:val="center"/>
              <w:rPr>
                <w:rFonts w:ascii="仿宋_GB2312" w:eastAsia="仿宋_GB2312" w:hAnsi="仿宋_GB2312" w:cs="仿宋_GB2312"/>
                <w:szCs w:val="21"/>
              </w:rPr>
            </w:pPr>
          </w:p>
        </w:tc>
        <w:tc>
          <w:tcPr>
            <w:tcW w:w="2129" w:type="dxa"/>
            <w:vAlign w:val="center"/>
          </w:tcPr>
          <w:p w14:paraId="1C7A7678"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应用说明</w:t>
            </w:r>
          </w:p>
        </w:tc>
        <w:tc>
          <w:tcPr>
            <w:tcW w:w="3424" w:type="dxa"/>
            <w:vAlign w:val="center"/>
          </w:tcPr>
          <w:p w14:paraId="211F95D7" w14:textId="1880854C"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基于</w:t>
            </w:r>
            <w:r>
              <w:rPr>
                <w:rFonts w:ascii="仿宋_GB2312" w:eastAsia="仿宋_GB2312" w:hAnsi="仿宋_GB2312" w:cs="仿宋_GB2312"/>
                <w:szCs w:val="21"/>
              </w:rPr>
              <w:t>5G</w:t>
            </w:r>
            <w:r>
              <w:rPr>
                <w:rFonts w:ascii="仿宋_GB2312" w:eastAsia="仿宋_GB2312" w:hAnsi="仿宋_GB2312" w:cs="仿宋_GB2312" w:hint="eastAsia"/>
                <w:szCs w:val="21"/>
              </w:rPr>
              <w:t>、物联网、人工智能、大数据、生物识别等技术</w:t>
            </w:r>
            <w:r>
              <w:rPr>
                <w:rFonts w:ascii="仿宋_GB2312" w:eastAsia="仿宋_GB2312" w:hAnsi="仿宋_GB2312" w:cs="仿宋_GB2312"/>
                <w:szCs w:val="21"/>
              </w:rPr>
              <w:t>打造智慧银行网点，</w:t>
            </w:r>
            <w:r>
              <w:rPr>
                <w:rFonts w:ascii="仿宋_GB2312" w:eastAsia="仿宋_GB2312" w:hAnsi="仿宋_GB2312" w:cs="仿宋_GB2312" w:hint="eastAsia"/>
                <w:szCs w:val="21"/>
              </w:rPr>
              <w:t>以</w:t>
            </w:r>
            <w:r>
              <w:rPr>
                <w:rFonts w:ascii="仿宋_GB2312" w:eastAsia="仿宋_GB2312" w:hAnsi="仿宋_GB2312" w:cs="仿宋_GB2312"/>
                <w:szCs w:val="21"/>
              </w:rPr>
              <w:t>视频、语音</w:t>
            </w:r>
            <w:proofErr w:type="gramStart"/>
            <w:r>
              <w:rPr>
                <w:rFonts w:ascii="仿宋_GB2312" w:eastAsia="仿宋_GB2312" w:hAnsi="仿宋_GB2312" w:cs="仿宋_GB2312"/>
                <w:szCs w:val="21"/>
              </w:rPr>
              <w:t>交互等</w:t>
            </w:r>
            <w:proofErr w:type="gramEnd"/>
            <w:r>
              <w:rPr>
                <w:rFonts w:ascii="仿宋_GB2312" w:eastAsia="仿宋_GB2312" w:hAnsi="仿宋_GB2312" w:cs="仿宋_GB2312"/>
                <w:szCs w:val="21"/>
              </w:rPr>
              <w:t>方式为用户提供互动沉浸式的创新金融服务体验，探索全新的获客、</w:t>
            </w:r>
            <w:proofErr w:type="gramStart"/>
            <w:r>
              <w:rPr>
                <w:rFonts w:ascii="仿宋_GB2312" w:eastAsia="仿宋_GB2312" w:hAnsi="仿宋_GB2312" w:cs="仿宋_GB2312"/>
                <w:szCs w:val="21"/>
              </w:rPr>
              <w:t>活客新</w:t>
            </w:r>
            <w:proofErr w:type="gramEnd"/>
            <w:r>
              <w:rPr>
                <w:rFonts w:ascii="仿宋_GB2312" w:eastAsia="仿宋_GB2312" w:hAnsi="仿宋_GB2312" w:cs="仿宋_GB2312"/>
                <w:szCs w:val="21"/>
              </w:rPr>
              <w:t>模式，提升金融服务获得感和</w:t>
            </w:r>
            <w:r w:rsidR="00AB769E">
              <w:rPr>
                <w:rFonts w:ascii="仿宋_GB2312" w:eastAsia="仿宋_GB2312" w:hAnsi="仿宋_GB2312" w:cs="仿宋_GB2312" w:hint="eastAsia"/>
                <w:szCs w:val="21"/>
              </w:rPr>
              <w:t>客户</w:t>
            </w:r>
            <w:r>
              <w:rPr>
                <w:rFonts w:ascii="仿宋_GB2312" w:eastAsia="仿宋_GB2312" w:hAnsi="仿宋_GB2312" w:cs="仿宋_GB2312"/>
                <w:szCs w:val="21"/>
              </w:rPr>
              <w:t>满意度。</w:t>
            </w:r>
          </w:p>
        </w:tc>
      </w:tr>
      <w:tr w:rsidR="00EA6A72" w14:paraId="6D5C4113" w14:textId="77777777">
        <w:trPr>
          <w:trHeight w:val="497"/>
          <w:jc w:val="center"/>
        </w:trPr>
        <w:tc>
          <w:tcPr>
            <w:tcW w:w="1180" w:type="dxa"/>
            <w:vMerge/>
            <w:vAlign w:val="center"/>
          </w:tcPr>
          <w:p w14:paraId="235CFF37"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41B7B4AD"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创新应用功能</w:t>
            </w:r>
          </w:p>
        </w:tc>
        <w:tc>
          <w:tcPr>
            <w:tcW w:w="5553" w:type="dxa"/>
            <w:gridSpan w:val="2"/>
            <w:vAlign w:val="center"/>
          </w:tcPr>
          <w:p w14:paraId="3F9B2691" w14:textId="729F90F1" w:rsidR="000B4B9E" w:rsidRPr="000B4B9E" w:rsidRDefault="000B4B9E">
            <w:pPr>
              <w:spacing w:after="0" w:line="360" w:lineRule="exact"/>
              <w:jc w:val="both"/>
              <w:rPr>
                <w:rFonts w:ascii="仿宋_GB2312" w:eastAsia="仿宋_GB2312" w:hAnsi="仿宋_GB2312" w:cs="仿宋_GB2312"/>
                <w:szCs w:val="21"/>
              </w:rPr>
            </w:pPr>
            <w:r w:rsidRPr="000B4B9E">
              <w:rPr>
                <w:rFonts w:ascii="仿宋_GB2312" w:eastAsia="仿宋_GB2312" w:hAnsi="仿宋_GB2312" w:cs="仿宋_GB2312" w:hint="eastAsia"/>
                <w:szCs w:val="21"/>
              </w:rPr>
              <w:t>1.利用5G技术支持</w:t>
            </w:r>
            <w:r w:rsidR="00D5258E" w:rsidRPr="000B4B9E">
              <w:rPr>
                <w:rFonts w:ascii="仿宋_GB2312" w:eastAsia="仿宋_GB2312" w:hAnsi="仿宋_GB2312" w:cs="仿宋_GB2312" w:hint="eastAsia"/>
                <w:szCs w:val="21"/>
              </w:rPr>
              <w:t>远程办理</w:t>
            </w:r>
            <w:r w:rsidR="00191D5E">
              <w:rPr>
                <w:rFonts w:ascii="仿宋_GB2312" w:eastAsia="仿宋_GB2312" w:hAnsi="仿宋_GB2312" w:cs="仿宋_GB2312" w:hint="eastAsia"/>
                <w:szCs w:val="21"/>
              </w:rPr>
              <w:t>部分</w:t>
            </w:r>
            <w:r w:rsidRPr="000B4B9E">
              <w:rPr>
                <w:rFonts w:ascii="仿宋_GB2312" w:eastAsia="仿宋_GB2312" w:hAnsi="仿宋_GB2312" w:cs="仿宋_GB2312" w:hint="eastAsia"/>
                <w:szCs w:val="21"/>
              </w:rPr>
              <w:t>金融业务，扩大自助业务服务范围至理财、信用卡、账户服务</w:t>
            </w:r>
            <w:r w:rsidR="00E926F3">
              <w:rPr>
                <w:rFonts w:ascii="仿宋_GB2312" w:eastAsia="仿宋_GB2312" w:hAnsi="仿宋_GB2312" w:cs="仿宋_GB2312" w:hint="eastAsia"/>
                <w:szCs w:val="21"/>
              </w:rPr>
              <w:t>、</w:t>
            </w:r>
            <w:r w:rsidR="00E926F3" w:rsidRPr="006347BD">
              <w:rPr>
                <w:rFonts w:ascii="仿宋_GB2312" w:eastAsia="仿宋_GB2312" w:hAnsi="仿宋_GB2312" w:cs="仿宋_GB2312" w:hint="eastAsia"/>
                <w:szCs w:val="21"/>
                <w:highlight w:val="yellow"/>
              </w:rPr>
              <w:t>线上线下结合的融资服务</w:t>
            </w:r>
            <w:r w:rsidRPr="000B4B9E">
              <w:rPr>
                <w:rFonts w:ascii="仿宋_GB2312" w:eastAsia="仿宋_GB2312" w:hAnsi="仿宋_GB2312" w:cs="仿宋_GB2312" w:hint="eastAsia"/>
                <w:szCs w:val="21"/>
              </w:rPr>
              <w:t>（</w:t>
            </w:r>
            <w:r w:rsidR="00291A6E" w:rsidRPr="00291A6E">
              <w:rPr>
                <w:rFonts w:ascii="仿宋_GB2312" w:eastAsia="仿宋_GB2312" w:hAnsi="仿宋_GB2312" w:cs="仿宋_GB2312" w:hint="eastAsia"/>
                <w:szCs w:val="21"/>
              </w:rPr>
              <w:t>不涉及银行账户的远程开立</w:t>
            </w:r>
            <w:r w:rsidRPr="000B4B9E">
              <w:rPr>
                <w:rFonts w:ascii="仿宋_GB2312" w:eastAsia="仿宋_GB2312" w:hAnsi="仿宋_GB2312" w:cs="仿宋_GB2312" w:hint="eastAsia"/>
                <w:szCs w:val="21"/>
              </w:rPr>
              <w:t>）等19大类270项金融服务</w:t>
            </w:r>
            <w:r w:rsidR="00EF5D91">
              <w:rPr>
                <w:rFonts w:ascii="仿宋_GB2312" w:eastAsia="仿宋_GB2312" w:hAnsi="仿宋_GB2312" w:cs="仿宋_GB2312" w:hint="eastAsia"/>
                <w:szCs w:val="21"/>
              </w:rPr>
              <w:t>项目</w:t>
            </w:r>
            <w:r w:rsidRPr="000B4B9E">
              <w:rPr>
                <w:rFonts w:ascii="仿宋_GB2312" w:eastAsia="仿宋_GB2312" w:hAnsi="仿宋_GB2312" w:cs="仿宋_GB2312" w:hint="eastAsia"/>
                <w:szCs w:val="21"/>
              </w:rPr>
              <w:t>。</w:t>
            </w:r>
            <w:bookmarkStart w:id="0" w:name="_GoBack"/>
            <w:bookmarkEnd w:id="0"/>
          </w:p>
          <w:p w14:paraId="3E235AB9" w14:textId="77777777" w:rsidR="00EA6A72" w:rsidRDefault="000B4B9E">
            <w:pPr>
              <w:spacing w:after="0" w:line="360" w:lineRule="exact"/>
              <w:jc w:val="both"/>
              <w:rPr>
                <w:rFonts w:ascii="仿宋_GB2312" w:eastAsia="仿宋_GB2312" w:hAnsi="仿宋_GB2312" w:cs="仿宋_GB2312"/>
                <w:szCs w:val="21"/>
              </w:rPr>
            </w:pPr>
            <w:r w:rsidRPr="000B4B9E">
              <w:rPr>
                <w:rFonts w:ascii="仿宋_GB2312" w:eastAsia="仿宋_GB2312" w:hAnsi="仿宋_GB2312" w:cs="仿宋_GB2312" w:hint="eastAsia"/>
                <w:szCs w:val="21"/>
              </w:rPr>
              <w:t>2.实现手机银行和5G网点的线上线下融合，重塑金融服务流程，为客户提供更优质的理财、信用卡等金融服务及扶贫购物等非金融服务。</w:t>
            </w:r>
          </w:p>
        </w:tc>
      </w:tr>
      <w:tr w:rsidR="00EA6A72" w14:paraId="4C80959A" w14:textId="77777777">
        <w:trPr>
          <w:trHeight w:val="454"/>
          <w:jc w:val="center"/>
        </w:trPr>
        <w:tc>
          <w:tcPr>
            <w:tcW w:w="1180" w:type="dxa"/>
            <w:vMerge/>
            <w:vAlign w:val="center"/>
          </w:tcPr>
          <w:p w14:paraId="073955E4"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3DA0B32A"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预期效果</w:t>
            </w:r>
          </w:p>
        </w:tc>
        <w:tc>
          <w:tcPr>
            <w:tcW w:w="5553" w:type="dxa"/>
            <w:gridSpan w:val="2"/>
            <w:vAlign w:val="center"/>
          </w:tcPr>
          <w:p w14:paraId="590639F5" w14:textId="69C0297C" w:rsidR="00EA6A72" w:rsidRDefault="00CF5D0E">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1.</w:t>
            </w:r>
            <w:r w:rsidR="0089405A">
              <w:rPr>
                <w:rFonts w:ascii="仿宋_GB2312" w:eastAsia="仿宋_GB2312" w:hAnsi="仿宋_GB2312" w:cs="仿宋_GB2312" w:hint="eastAsia"/>
                <w:szCs w:val="21"/>
              </w:rPr>
              <w:t>通过精简优化多项高频金融服务审核</w:t>
            </w:r>
            <w:r w:rsidR="00AB769E">
              <w:rPr>
                <w:rFonts w:ascii="仿宋_GB2312" w:eastAsia="仿宋_GB2312" w:hAnsi="仿宋_GB2312" w:cs="仿宋_GB2312" w:hint="eastAsia"/>
                <w:szCs w:val="21"/>
              </w:rPr>
              <w:t>流程</w:t>
            </w:r>
            <w:r w:rsidR="0089405A">
              <w:rPr>
                <w:rFonts w:ascii="仿宋_GB2312" w:eastAsia="仿宋_GB2312" w:hAnsi="仿宋_GB2312" w:cs="仿宋_GB2312" w:hint="eastAsia"/>
                <w:szCs w:val="21"/>
              </w:rPr>
              <w:t>，预计减少业务审核总量的近20%，节约审核人员工作时间45076小时/月，预计</w:t>
            </w:r>
            <w:proofErr w:type="gramStart"/>
            <w:r w:rsidR="0089405A">
              <w:rPr>
                <w:rFonts w:ascii="仿宋_GB2312" w:eastAsia="仿宋_GB2312" w:hAnsi="仿宋_GB2312" w:cs="仿宋_GB2312" w:hint="eastAsia"/>
                <w:szCs w:val="21"/>
              </w:rPr>
              <w:t>释放全行约</w:t>
            </w:r>
            <w:proofErr w:type="gramEnd"/>
            <w:r w:rsidR="0089405A">
              <w:rPr>
                <w:rFonts w:ascii="仿宋_GB2312" w:eastAsia="仿宋_GB2312" w:hAnsi="仿宋_GB2312" w:cs="仿宋_GB2312" w:hint="eastAsia"/>
                <w:szCs w:val="21"/>
              </w:rPr>
              <w:t>342人</w:t>
            </w:r>
            <w:r w:rsidR="00B142D0">
              <w:rPr>
                <w:rFonts w:ascii="仿宋_GB2312" w:eastAsia="仿宋_GB2312" w:hAnsi="仿宋_GB2312" w:cs="仿宋_GB2312" w:hint="eastAsia"/>
                <w:szCs w:val="21"/>
              </w:rPr>
              <w:t>的</w:t>
            </w:r>
            <w:r w:rsidR="0089405A">
              <w:rPr>
                <w:rFonts w:ascii="仿宋_GB2312" w:eastAsia="仿宋_GB2312" w:hAnsi="仿宋_GB2312" w:cs="仿宋_GB2312" w:hint="eastAsia"/>
                <w:szCs w:val="21"/>
              </w:rPr>
              <w:t>工作量。</w:t>
            </w:r>
          </w:p>
          <w:p w14:paraId="5EEA54D4" w14:textId="41F67DF4" w:rsidR="00EA6A72" w:rsidRDefault="00CF5D0E">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2.</w:t>
            </w:r>
            <w:r w:rsidR="0089405A">
              <w:rPr>
                <w:rFonts w:ascii="仿宋_GB2312" w:eastAsia="仿宋_GB2312" w:hAnsi="仿宋_GB2312" w:cs="仿宋_GB2312" w:hint="eastAsia"/>
                <w:szCs w:val="21"/>
              </w:rPr>
              <w:t>将分散在网点的引导服务人员集中在</w:t>
            </w:r>
            <w:r w:rsidR="0089405A">
              <w:rPr>
                <w:rFonts w:ascii="仿宋_GB2312" w:eastAsia="仿宋_GB2312" w:hAnsi="仿宋_GB2312" w:cs="仿宋_GB2312"/>
                <w:szCs w:val="21"/>
              </w:rPr>
              <w:t>后端，</w:t>
            </w:r>
            <w:r w:rsidR="0089405A">
              <w:rPr>
                <w:rFonts w:ascii="仿宋_GB2312" w:eastAsia="仿宋_GB2312" w:hAnsi="仿宋_GB2312" w:cs="仿宋_GB2312" w:hint="eastAsia"/>
                <w:szCs w:val="21"/>
              </w:rPr>
              <w:t>实现引导</w:t>
            </w:r>
            <w:r w:rsidR="0089405A">
              <w:rPr>
                <w:rFonts w:ascii="仿宋_GB2312" w:eastAsia="仿宋_GB2312" w:hAnsi="仿宋_GB2312" w:cs="仿宋_GB2312" w:hint="eastAsia"/>
                <w:szCs w:val="21"/>
              </w:rPr>
              <w:lastRenderedPageBreak/>
              <w:t>服务人员集约化，解决网点局部人力紧张或高峰时段服务效率低等问题。</w:t>
            </w:r>
          </w:p>
          <w:p w14:paraId="5EC52746" w14:textId="1F68E23D" w:rsidR="00EA6A72" w:rsidRDefault="00CF5D0E">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3.</w:t>
            </w:r>
            <w:r w:rsidR="0089405A">
              <w:rPr>
                <w:rFonts w:ascii="仿宋_GB2312" w:eastAsia="仿宋_GB2312" w:hAnsi="仿宋_GB2312" w:cs="仿宋_GB2312"/>
                <w:szCs w:val="21"/>
              </w:rPr>
              <w:t>打造全新网点金融服务模式</w:t>
            </w:r>
            <w:r w:rsidR="0089405A">
              <w:rPr>
                <w:rFonts w:ascii="仿宋_GB2312" w:eastAsia="仿宋_GB2312" w:hAnsi="仿宋_GB2312" w:cs="仿宋_GB2312" w:hint="eastAsia"/>
                <w:szCs w:val="21"/>
              </w:rPr>
              <w:t>、运营模式，提升客户服务体验，</w:t>
            </w:r>
            <w:r w:rsidR="0089405A">
              <w:rPr>
                <w:rFonts w:ascii="仿宋_GB2312" w:eastAsia="仿宋_GB2312" w:hAnsi="仿宋_GB2312" w:cs="仿宋_GB2312"/>
                <w:szCs w:val="21"/>
              </w:rPr>
              <w:t>为未来银行网点转型提供指导性经验</w:t>
            </w:r>
            <w:r w:rsidR="0089405A">
              <w:rPr>
                <w:rFonts w:ascii="仿宋_GB2312" w:eastAsia="仿宋_GB2312" w:hAnsi="仿宋_GB2312" w:cs="仿宋_GB2312" w:hint="eastAsia"/>
                <w:szCs w:val="21"/>
              </w:rPr>
              <w:t>。</w:t>
            </w:r>
          </w:p>
        </w:tc>
      </w:tr>
      <w:tr w:rsidR="00EA6A72" w14:paraId="5AE4592D" w14:textId="77777777">
        <w:trPr>
          <w:trHeight w:val="454"/>
          <w:jc w:val="center"/>
        </w:trPr>
        <w:tc>
          <w:tcPr>
            <w:tcW w:w="1180" w:type="dxa"/>
            <w:vMerge/>
            <w:vAlign w:val="center"/>
          </w:tcPr>
          <w:p w14:paraId="7BF8015E"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74597DD6"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预期规模</w:t>
            </w:r>
          </w:p>
        </w:tc>
        <w:tc>
          <w:tcPr>
            <w:tcW w:w="5553" w:type="dxa"/>
            <w:gridSpan w:val="2"/>
            <w:vAlign w:val="center"/>
          </w:tcPr>
          <w:p w14:paraId="283D8357" w14:textId="6BBF2739" w:rsidR="00EA6A72" w:rsidRDefault="00A13D8A">
            <w:pPr>
              <w:spacing w:after="0" w:line="360" w:lineRule="exact"/>
              <w:jc w:val="both"/>
              <w:rPr>
                <w:rFonts w:ascii="仿宋_GB2312" w:eastAsia="仿宋_GB2312" w:hAnsi="仿宋_GB2312" w:cs="仿宋_GB2312"/>
                <w:szCs w:val="21"/>
              </w:rPr>
            </w:pPr>
            <w:r w:rsidRPr="00A13D8A">
              <w:rPr>
                <w:rFonts w:ascii="仿宋_GB2312" w:eastAsia="仿宋_GB2312" w:hAnsi="仿宋_GB2312" w:cs="仿宋_GB2312" w:hint="eastAsia"/>
                <w:szCs w:val="21"/>
              </w:rPr>
              <w:t>按照风险可控原则合理确定用户范围和服务规模</w:t>
            </w:r>
            <w:r w:rsidR="005D76C0">
              <w:rPr>
                <w:rFonts w:ascii="仿宋_GB2312" w:eastAsia="仿宋_GB2312" w:hAnsi="仿宋_GB2312" w:cs="仿宋_GB2312" w:hint="eastAsia"/>
                <w:szCs w:val="21"/>
              </w:rPr>
              <w:t>。</w:t>
            </w:r>
            <w:r w:rsidRPr="00A13D8A">
              <w:rPr>
                <w:rFonts w:ascii="仿宋_GB2312" w:eastAsia="仿宋_GB2312" w:hAnsi="仿宋_GB2312" w:cs="仿宋_GB2312" w:hint="eastAsia"/>
                <w:szCs w:val="21"/>
              </w:rPr>
              <w:t>预计建设网点68个，每个网点月均到店客户</w:t>
            </w:r>
            <w:r w:rsidR="001E5E8B">
              <w:rPr>
                <w:rFonts w:ascii="仿宋_GB2312" w:eastAsia="仿宋_GB2312" w:hAnsi="仿宋_GB2312" w:cs="仿宋_GB2312" w:hint="eastAsia"/>
                <w:szCs w:val="21"/>
              </w:rPr>
              <w:t>最多达</w:t>
            </w:r>
            <w:r w:rsidRPr="00A13D8A">
              <w:rPr>
                <w:rFonts w:ascii="仿宋_GB2312" w:eastAsia="仿宋_GB2312" w:hAnsi="仿宋_GB2312" w:cs="仿宋_GB2312" w:hint="eastAsia"/>
                <w:szCs w:val="21"/>
              </w:rPr>
              <w:t>8000人次，月均业务量</w:t>
            </w:r>
            <w:r w:rsidR="00D85D32">
              <w:rPr>
                <w:rFonts w:ascii="仿宋_GB2312" w:eastAsia="仿宋_GB2312" w:hAnsi="仿宋_GB2312" w:cs="仿宋_GB2312" w:hint="eastAsia"/>
                <w:szCs w:val="21"/>
              </w:rPr>
              <w:t>最多</w:t>
            </w:r>
            <w:r w:rsidRPr="00A13D8A">
              <w:rPr>
                <w:rFonts w:ascii="仿宋_GB2312" w:eastAsia="仿宋_GB2312" w:hAnsi="仿宋_GB2312" w:cs="仿宋_GB2312" w:hint="eastAsia"/>
                <w:szCs w:val="21"/>
              </w:rPr>
              <w:t>达7500笔。</w:t>
            </w:r>
          </w:p>
        </w:tc>
      </w:tr>
      <w:tr w:rsidR="00EA6A72" w14:paraId="66ECFE15" w14:textId="77777777">
        <w:trPr>
          <w:trHeight w:val="454"/>
          <w:jc w:val="center"/>
        </w:trPr>
        <w:tc>
          <w:tcPr>
            <w:tcW w:w="1180" w:type="dxa"/>
            <w:vMerge w:val="restart"/>
            <w:vAlign w:val="center"/>
          </w:tcPr>
          <w:p w14:paraId="053DF283"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创新应用</w:t>
            </w:r>
          </w:p>
          <w:p w14:paraId="348D32EE"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服务信息</w:t>
            </w:r>
          </w:p>
        </w:tc>
        <w:tc>
          <w:tcPr>
            <w:tcW w:w="2100" w:type="dxa"/>
            <w:vAlign w:val="center"/>
          </w:tcPr>
          <w:p w14:paraId="27E795CD"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服务渠道</w:t>
            </w:r>
          </w:p>
        </w:tc>
        <w:tc>
          <w:tcPr>
            <w:tcW w:w="5553" w:type="dxa"/>
            <w:gridSpan w:val="2"/>
            <w:vAlign w:val="center"/>
          </w:tcPr>
          <w:p w14:paraId="7A6A9BEE"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建设银行营业网点</w:t>
            </w:r>
          </w:p>
        </w:tc>
      </w:tr>
      <w:tr w:rsidR="00EA6A72" w14:paraId="0829CBAB" w14:textId="77777777">
        <w:trPr>
          <w:trHeight w:val="454"/>
          <w:jc w:val="center"/>
        </w:trPr>
        <w:tc>
          <w:tcPr>
            <w:tcW w:w="1180" w:type="dxa"/>
            <w:vMerge/>
            <w:vAlign w:val="center"/>
          </w:tcPr>
          <w:p w14:paraId="2CDC58F3"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1C4D3CA5"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服务时间</w:t>
            </w:r>
          </w:p>
        </w:tc>
        <w:tc>
          <w:tcPr>
            <w:tcW w:w="5553" w:type="dxa"/>
            <w:gridSpan w:val="2"/>
            <w:vAlign w:val="center"/>
          </w:tcPr>
          <w:p w14:paraId="5A1C3BAA"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周一至周五9:00-17:00</w:t>
            </w:r>
          </w:p>
        </w:tc>
      </w:tr>
      <w:tr w:rsidR="00EA6A72" w14:paraId="7E9E9BEC" w14:textId="77777777">
        <w:trPr>
          <w:trHeight w:val="454"/>
          <w:jc w:val="center"/>
        </w:trPr>
        <w:tc>
          <w:tcPr>
            <w:tcW w:w="1180" w:type="dxa"/>
            <w:vMerge/>
            <w:vAlign w:val="center"/>
          </w:tcPr>
          <w:p w14:paraId="6C411853"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184F2BE1"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服务用户</w:t>
            </w:r>
          </w:p>
        </w:tc>
        <w:tc>
          <w:tcPr>
            <w:tcW w:w="5553" w:type="dxa"/>
            <w:gridSpan w:val="2"/>
            <w:vAlign w:val="center"/>
          </w:tcPr>
          <w:p w14:paraId="305316CE"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有网点使用需求的各类用户</w:t>
            </w:r>
          </w:p>
        </w:tc>
      </w:tr>
      <w:tr w:rsidR="00EA6A72" w14:paraId="6F812018" w14:textId="77777777">
        <w:trPr>
          <w:trHeight w:val="454"/>
          <w:jc w:val="center"/>
        </w:trPr>
        <w:tc>
          <w:tcPr>
            <w:tcW w:w="1180" w:type="dxa"/>
            <w:vMerge/>
            <w:vAlign w:val="center"/>
          </w:tcPr>
          <w:p w14:paraId="25D0AAB1"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513108D0"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服务协议书</w:t>
            </w:r>
          </w:p>
        </w:tc>
        <w:tc>
          <w:tcPr>
            <w:tcW w:w="5553" w:type="dxa"/>
            <w:gridSpan w:val="2"/>
            <w:vAlign w:val="center"/>
          </w:tcPr>
          <w:p w14:paraId="612BFC76" w14:textId="1F14E028" w:rsidR="00EA6A72" w:rsidRDefault="00AF74AF"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w:t>
            </w:r>
            <w:r w:rsidR="0089405A">
              <w:rPr>
                <w:rFonts w:ascii="仿宋_GB2312" w:eastAsia="仿宋_GB2312" w:hAnsi="仿宋_GB2312" w:cs="仿宋_GB2312" w:hint="eastAsia"/>
                <w:szCs w:val="21"/>
              </w:rPr>
              <w:t>中国建设银行自助设备刷脸服务用户协议</w:t>
            </w:r>
            <w:r>
              <w:rPr>
                <w:rFonts w:ascii="仿宋_GB2312" w:eastAsia="仿宋_GB2312" w:hAnsi="仿宋_GB2312" w:cs="仿宋_GB2312" w:hint="eastAsia"/>
                <w:szCs w:val="21"/>
              </w:rPr>
              <w:t>》</w:t>
            </w:r>
            <w:r w:rsidR="00291A6E">
              <w:rPr>
                <w:rFonts w:ascii="仿宋_GB2312" w:eastAsia="仿宋_GB2312" w:hAnsi="仿宋_GB2312" w:cs="仿宋_GB2312" w:hint="eastAsia"/>
                <w:szCs w:val="21"/>
              </w:rPr>
              <w:t>（见</w:t>
            </w:r>
            <w:r w:rsidR="007B2C50">
              <w:rPr>
                <w:rFonts w:ascii="仿宋_GB2312" w:eastAsia="仿宋_GB2312" w:hAnsi="仿宋_GB2312" w:cs="仿宋_GB2312" w:hint="eastAsia"/>
                <w:szCs w:val="21"/>
              </w:rPr>
              <w:t>附件</w:t>
            </w:r>
            <w:r w:rsidR="00291A6E">
              <w:rPr>
                <w:rFonts w:ascii="仿宋_GB2312" w:eastAsia="仿宋_GB2312" w:hAnsi="仿宋_GB2312" w:cs="仿宋_GB2312" w:hint="eastAsia"/>
                <w:szCs w:val="21"/>
              </w:rPr>
              <w:t>1-1）</w:t>
            </w:r>
          </w:p>
        </w:tc>
      </w:tr>
      <w:tr w:rsidR="00EA6A72" w14:paraId="4D37BD56" w14:textId="77777777">
        <w:trPr>
          <w:trHeight w:val="454"/>
          <w:jc w:val="center"/>
        </w:trPr>
        <w:tc>
          <w:tcPr>
            <w:tcW w:w="1180" w:type="dxa"/>
            <w:vMerge w:val="restart"/>
            <w:vAlign w:val="center"/>
          </w:tcPr>
          <w:p w14:paraId="47B921C5"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合法合</w:t>
            </w:r>
            <w:proofErr w:type="gramStart"/>
            <w:r>
              <w:rPr>
                <w:rFonts w:ascii="仿宋_GB2312" w:eastAsia="仿宋_GB2312" w:hAnsi="仿宋_GB2312" w:cs="仿宋_GB2312" w:hint="eastAsia"/>
                <w:szCs w:val="21"/>
              </w:rPr>
              <w:t>规</w:t>
            </w:r>
            <w:proofErr w:type="gramEnd"/>
            <w:r>
              <w:rPr>
                <w:rFonts w:ascii="仿宋_GB2312" w:eastAsia="仿宋_GB2312" w:hAnsi="仿宋_GB2312" w:cs="仿宋_GB2312" w:hint="eastAsia"/>
                <w:szCs w:val="21"/>
              </w:rPr>
              <w:t>性评估</w:t>
            </w:r>
          </w:p>
        </w:tc>
        <w:tc>
          <w:tcPr>
            <w:tcW w:w="2100" w:type="dxa"/>
            <w:vAlign w:val="center"/>
          </w:tcPr>
          <w:p w14:paraId="24514F85"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评估机构</w:t>
            </w:r>
          </w:p>
        </w:tc>
        <w:tc>
          <w:tcPr>
            <w:tcW w:w="5553" w:type="dxa"/>
            <w:gridSpan w:val="2"/>
            <w:vAlign w:val="center"/>
          </w:tcPr>
          <w:p w14:paraId="5E6469B2"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中国</w:t>
            </w:r>
            <w:r>
              <w:rPr>
                <w:rFonts w:ascii="仿宋_GB2312" w:eastAsia="仿宋_GB2312" w:hAnsi="仿宋_GB2312" w:cs="仿宋_GB2312"/>
                <w:szCs w:val="21"/>
              </w:rPr>
              <w:t>建设银行</w:t>
            </w:r>
            <w:r>
              <w:rPr>
                <w:rFonts w:ascii="仿宋_GB2312" w:eastAsia="仿宋_GB2312" w:hAnsi="仿宋_GB2312" w:cs="仿宋_GB2312" w:hint="eastAsia"/>
                <w:szCs w:val="21"/>
              </w:rPr>
              <w:t>渠道与运营管理部</w:t>
            </w:r>
          </w:p>
        </w:tc>
      </w:tr>
      <w:tr w:rsidR="00EA6A72" w14:paraId="02F353B6" w14:textId="77777777">
        <w:trPr>
          <w:trHeight w:val="454"/>
          <w:jc w:val="center"/>
        </w:trPr>
        <w:tc>
          <w:tcPr>
            <w:tcW w:w="1180" w:type="dxa"/>
            <w:vMerge/>
            <w:vAlign w:val="center"/>
          </w:tcPr>
          <w:p w14:paraId="6E6766C1"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0FDDE424"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评估时间</w:t>
            </w:r>
          </w:p>
        </w:tc>
        <w:tc>
          <w:tcPr>
            <w:tcW w:w="5553" w:type="dxa"/>
            <w:gridSpan w:val="2"/>
            <w:vAlign w:val="center"/>
          </w:tcPr>
          <w:p w14:paraId="4E85ED74" w14:textId="765F7D63" w:rsidR="00EA6A72" w:rsidRDefault="004D3733"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2020年1月</w:t>
            </w:r>
          </w:p>
        </w:tc>
      </w:tr>
      <w:tr w:rsidR="00EA6A72" w14:paraId="27D1D7A4" w14:textId="77777777">
        <w:trPr>
          <w:trHeight w:val="454"/>
          <w:jc w:val="center"/>
        </w:trPr>
        <w:tc>
          <w:tcPr>
            <w:tcW w:w="1180" w:type="dxa"/>
            <w:vMerge/>
            <w:vAlign w:val="center"/>
          </w:tcPr>
          <w:p w14:paraId="4BDF150E"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48378CCF"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有效期限</w:t>
            </w:r>
          </w:p>
        </w:tc>
        <w:tc>
          <w:tcPr>
            <w:tcW w:w="5553" w:type="dxa"/>
            <w:gridSpan w:val="2"/>
            <w:vAlign w:val="center"/>
          </w:tcPr>
          <w:p w14:paraId="1621C010"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3</w:t>
            </w:r>
            <w:r>
              <w:rPr>
                <w:rFonts w:ascii="仿宋_GB2312" w:eastAsia="仿宋_GB2312" w:hAnsi="仿宋_GB2312" w:cs="仿宋_GB2312" w:hint="eastAsia"/>
                <w:szCs w:val="21"/>
              </w:rPr>
              <w:t>年</w:t>
            </w:r>
          </w:p>
        </w:tc>
      </w:tr>
      <w:tr w:rsidR="00EA6A72" w14:paraId="3D80F7FF" w14:textId="77777777">
        <w:trPr>
          <w:trHeight w:val="454"/>
          <w:jc w:val="center"/>
        </w:trPr>
        <w:tc>
          <w:tcPr>
            <w:tcW w:w="1180" w:type="dxa"/>
            <w:vMerge/>
            <w:vAlign w:val="center"/>
          </w:tcPr>
          <w:p w14:paraId="384A8067"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1D2CB062"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评估结论</w:t>
            </w:r>
          </w:p>
        </w:tc>
        <w:tc>
          <w:tcPr>
            <w:tcW w:w="5553" w:type="dxa"/>
            <w:gridSpan w:val="2"/>
            <w:vAlign w:val="center"/>
          </w:tcPr>
          <w:p w14:paraId="56776595" w14:textId="4010CEE6"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szCs w:val="21"/>
              </w:rPr>
              <w:t>5G</w:t>
            </w:r>
            <w:r>
              <w:rPr>
                <w:rFonts w:ascii="仿宋_GB2312" w:eastAsia="仿宋_GB2312" w:hAnsi="仿宋_GB2312" w:cs="仿宋_GB2312" w:hint="eastAsia"/>
                <w:szCs w:val="21"/>
              </w:rPr>
              <w:t>⁺</w:t>
            </w:r>
            <w:r>
              <w:rPr>
                <w:rFonts w:ascii="仿宋_GB2312" w:eastAsia="仿宋_GB2312" w:hAnsi="仿宋_GB2312" w:cs="仿宋_GB2312"/>
                <w:szCs w:val="21"/>
              </w:rPr>
              <w:t>智能银行</w:t>
            </w:r>
            <w:r>
              <w:rPr>
                <w:rFonts w:ascii="仿宋_GB2312" w:eastAsia="仿宋_GB2312" w:hAnsi="仿宋_GB2312" w:cs="仿宋_GB2312" w:hint="eastAsia"/>
                <w:szCs w:val="21"/>
              </w:rPr>
              <w:t>严格按照《中华人民共和国反洗钱法》</w:t>
            </w:r>
            <w:r w:rsidR="00AF74AF">
              <w:rPr>
                <w:rFonts w:ascii="仿宋_GB2312" w:eastAsia="仿宋_GB2312" w:hAnsi="仿宋_GB2312" w:cs="仿宋_GB2312" w:hint="eastAsia"/>
                <w:szCs w:val="21"/>
              </w:rPr>
              <w:t>、</w:t>
            </w:r>
            <w:r>
              <w:rPr>
                <w:rFonts w:ascii="仿宋_GB2312" w:eastAsia="仿宋_GB2312" w:hAnsi="仿宋_GB2312" w:cs="仿宋_GB2312" w:hint="eastAsia"/>
                <w:szCs w:val="21"/>
              </w:rPr>
              <w:t>《金融机构客户身份识别和客户身份资料及交易记录保存办法》</w:t>
            </w:r>
            <w:r w:rsidR="00AF74AF">
              <w:rPr>
                <w:rFonts w:ascii="仿宋_GB2312" w:eastAsia="仿宋_GB2312" w:hAnsi="仿宋_GB2312" w:cs="仿宋_GB2312" w:hint="eastAsia"/>
                <w:szCs w:val="21"/>
              </w:rPr>
              <w:t>、</w:t>
            </w:r>
            <w:r>
              <w:rPr>
                <w:rFonts w:ascii="仿宋_GB2312" w:eastAsia="仿宋_GB2312" w:hAnsi="仿宋_GB2312" w:cs="仿宋_GB2312" w:hint="eastAsia"/>
                <w:szCs w:val="21"/>
              </w:rPr>
              <w:t>《银行业金融机构数据治理》等相关要求设计，符合相关法律法规。</w:t>
            </w:r>
          </w:p>
        </w:tc>
      </w:tr>
      <w:tr w:rsidR="00EA6A72" w14:paraId="71191C69" w14:textId="77777777">
        <w:trPr>
          <w:trHeight w:val="454"/>
          <w:jc w:val="center"/>
        </w:trPr>
        <w:tc>
          <w:tcPr>
            <w:tcW w:w="1180" w:type="dxa"/>
            <w:vMerge/>
            <w:vAlign w:val="center"/>
          </w:tcPr>
          <w:p w14:paraId="17B6B693"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5786DD13"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评估材料</w:t>
            </w:r>
          </w:p>
        </w:tc>
        <w:tc>
          <w:tcPr>
            <w:tcW w:w="5553" w:type="dxa"/>
            <w:gridSpan w:val="2"/>
            <w:vAlign w:val="center"/>
          </w:tcPr>
          <w:p w14:paraId="6BDBFA2A" w14:textId="47C6A314" w:rsidR="00EA6A72" w:rsidRDefault="0032131B"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w:t>
            </w:r>
            <w:r w:rsidR="0089405A">
              <w:rPr>
                <w:rFonts w:ascii="仿宋_GB2312" w:eastAsia="仿宋_GB2312" w:hAnsi="仿宋_GB2312" w:cs="仿宋_GB2312"/>
                <w:szCs w:val="21"/>
              </w:rPr>
              <w:t>合法合规</w:t>
            </w:r>
            <w:r w:rsidR="00543904">
              <w:rPr>
                <w:rFonts w:ascii="仿宋_GB2312" w:eastAsia="仿宋_GB2312" w:hAnsi="仿宋_GB2312" w:cs="仿宋_GB2312" w:hint="eastAsia"/>
                <w:szCs w:val="21"/>
              </w:rPr>
              <w:t>性评估</w:t>
            </w:r>
            <w:r w:rsidR="0089405A">
              <w:rPr>
                <w:rFonts w:ascii="仿宋_GB2312" w:eastAsia="仿宋_GB2312" w:hAnsi="仿宋_GB2312" w:cs="仿宋_GB2312"/>
                <w:szCs w:val="21"/>
              </w:rPr>
              <w:t>报告</w:t>
            </w:r>
            <w:r w:rsidR="00543904">
              <w:rPr>
                <w:rFonts w:ascii="仿宋_GB2312" w:eastAsia="仿宋_GB2312" w:hAnsi="仿宋_GB2312" w:cs="仿宋_GB2312" w:hint="eastAsia"/>
                <w:szCs w:val="21"/>
              </w:rPr>
              <w:t>-</w:t>
            </w:r>
            <w:r w:rsidR="00543904">
              <w:rPr>
                <w:rFonts w:ascii="仿宋_GB2312" w:eastAsia="仿宋_GB2312" w:hAnsi="仿宋_GB2312" w:cs="仿宋_GB2312"/>
                <w:szCs w:val="21"/>
              </w:rPr>
              <w:t>5G</w:t>
            </w:r>
            <w:r w:rsidR="00543904">
              <w:rPr>
                <w:rFonts w:ascii="仿宋_GB2312" w:eastAsia="仿宋_GB2312" w:hAnsi="仿宋_GB2312" w:cs="仿宋_GB2312" w:hint="eastAsia"/>
                <w:szCs w:val="21"/>
              </w:rPr>
              <w:t>⁺</w:t>
            </w:r>
            <w:r w:rsidR="00543904">
              <w:rPr>
                <w:rFonts w:ascii="仿宋_GB2312" w:eastAsia="仿宋_GB2312" w:hAnsi="仿宋_GB2312" w:cs="仿宋_GB2312"/>
                <w:szCs w:val="21"/>
              </w:rPr>
              <w:t>智能银行</w:t>
            </w:r>
            <w:r>
              <w:rPr>
                <w:rFonts w:ascii="仿宋_GB2312" w:eastAsia="仿宋_GB2312" w:hAnsi="仿宋_GB2312" w:cs="仿宋_GB2312" w:hint="eastAsia"/>
                <w:szCs w:val="21"/>
              </w:rPr>
              <w:t>》</w:t>
            </w:r>
            <w:r w:rsidR="00291A6E">
              <w:rPr>
                <w:rFonts w:ascii="仿宋_GB2312" w:eastAsia="仿宋_GB2312" w:hAnsi="仿宋_GB2312" w:cs="仿宋_GB2312" w:hint="eastAsia"/>
                <w:szCs w:val="21"/>
              </w:rPr>
              <w:t>（见</w:t>
            </w:r>
            <w:r w:rsidR="007104EE">
              <w:rPr>
                <w:rFonts w:ascii="仿宋_GB2312" w:eastAsia="仿宋_GB2312" w:hAnsi="仿宋_GB2312" w:cs="仿宋_GB2312" w:hint="eastAsia"/>
                <w:szCs w:val="21"/>
              </w:rPr>
              <w:t>附件</w:t>
            </w:r>
            <w:r w:rsidR="00291A6E">
              <w:rPr>
                <w:rFonts w:ascii="仿宋_GB2312" w:eastAsia="仿宋_GB2312" w:hAnsi="仿宋_GB2312" w:cs="仿宋_GB2312" w:hint="eastAsia"/>
                <w:szCs w:val="21"/>
              </w:rPr>
              <w:t>1-2）</w:t>
            </w:r>
          </w:p>
        </w:tc>
      </w:tr>
      <w:tr w:rsidR="00EA6A72" w14:paraId="1F39A8E9" w14:textId="77777777">
        <w:trPr>
          <w:trHeight w:val="454"/>
          <w:jc w:val="center"/>
        </w:trPr>
        <w:tc>
          <w:tcPr>
            <w:tcW w:w="1180" w:type="dxa"/>
            <w:vMerge w:val="restart"/>
            <w:vAlign w:val="center"/>
          </w:tcPr>
          <w:p w14:paraId="6B63CB6C"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技术安全性评估</w:t>
            </w:r>
          </w:p>
        </w:tc>
        <w:tc>
          <w:tcPr>
            <w:tcW w:w="2100" w:type="dxa"/>
            <w:vAlign w:val="center"/>
          </w:tcPr>
          <w:p w14:paraId="6E7FE1FF"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评估机构</w:t>
            </w:r>
          </w:p>
        </w:tc>
        <w:tc>
          <w:tcPr>
            <w:tcW w:w="5553" w:type="dxa"/>
            <w:gridSpan w:val="2"/>
            <w:vAlign w:val="center"/>
          </w:tcPr>
          <w:p w14:paraId="3B0DE5E7"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中国</w:t>
            </w:r>
            <w:r>
              <w:rPr>
                <w:rFonts w:ascii="仿宋_GB2312" w:eastAsia="仿宋_GB2312" w:hAnsi="仿宋_GB2312" w:cs="仿宋_GB2312"/>
                <w:szCs w:val="21"/>
              </w:rPr>
              <w:t>建设银行</w:t>
            </w:r>
            <w:r>
              <w:rPr>
                <w:rFonts w:ascii="仿宋_GB2312" w:eastAsia="仿宋_GB2312" w:hAnsi="仿宋_GB2312" w:cs="仿宋_GB2312" w:hint="eastAsia"/>
                <w:szCs w:val="21"/>
              </w:rPr>
              <w:t>金融科技部</w:t>
            </w:r>
          </w:p>
        </w:tc>
      </w:tr>
      <w:tr w:rsidR="00EA6A72" w14:paraId="07CEE8E6" w14:textId="77777777">
        <w:trPr>
          <w:trHeight w:val="454"/>
          <w:jc w:val="center"/>
        </w:trPr>
        <w:tc>
          <w:tcPr>
            <w:tcW w:w="1180" w:type="dxa"/>
            <w:vMerge/>
            <w:vAlign w:val="center"/>
          </w:tcPr>
          <w:p w14:paraId="0211ABE5"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7AFC1AF9"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评估时间</w:t>
            </w:r>
          </w:p>
        </w:tc>
        <w:tc>
          <w:tcPr>
            <w:tcW w:w="5553" w:type="dxa"/>
            <w:gridSpan w:val="2"/>
            <w:vAlign w:val="center"/>
          </w:tcPr>
          <w:p w14:paraId="34A3B7CC" w14:textId="4A303B0B"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2019年</w:t>
            </w:r>
            <w:r>
              <w:rPr>
                <w:rFonts w:ascii="仿宋_GB2312" w:eastAsia="仿宋_GB2312" w:hAnsi="仿宋_GB2312" w:cs="仿宋_GB2312"/>
                <w:szCs w:val="21"/>
              </w:rPr>
              <w:t>6</w:t>
            </w:r>
            <w:r>
              <w:rPr>
                <w:rFonts w:ascii="仿宋_GB2312" w:eastAsia="仿宋_GB2312" w:hAnsi="仿宋_GB2312" w:cs="仿宋_GB2312" w:hint="eastAsia"/>
                <w:szCs w:val="21"/>
              </w:rPr>
              <w:t>月</w:t>
            </w:r>
          </w:p>
        </w:tc>
      </w:tr>
      <w:tr w:rsidR="00EA6A72" w14:paraId="0B607FD5" w14:textId="77777777">
        <w:trPr>
          <w:trHeight w:val="454"/>
          <w:jc w:val="center"/>
        </w:trPr>
        <w:tc>
          <w:tcPr>
            <w:tcW w:w="1180" w:type="dxa"/>
            <w:vMerge/>
            <w:vAlign w:val="center"/>
          </w:tcPr>
          <w:p w14:paraId="27C98697"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793D09D2"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有效期限</w:t>
            </w:r>
          </w:p>
        </w:tc>
        <w:tc>
          <w:tcPr>
            <w:tcW w:w="5553" w:type="dxa"/>
            <w:gridSpan w:val="2"/>
            <w:vAlign w:val="center"/>
          </w:tcPr>
          <w:p w14:paraId="35AEBB9E"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szCs w:val="21"/>
              </w:rPr>
              <w:t>3</w:t>
            </w:r>
            <w:r>
              <w:rPr>
                <w:rFonts w:ascii="仿宋_GB2312" w:eastAsia="仿宋_GB2312" w:hAnsi="仿宋_GB2312" w:cs="仿宋_GB2312" w:hint="eastAsia"/>
                <w:szCs w:val="21"/>
              </w:rPr>
              <w:t>年</w:t>
            </w:r>
          </w:p>
        </w:tc>
      </w:tr>
      <w:tr w:rsidR="00EA6A72" w14:paraId="283310BB" w14:textId="77777777">
        <w:trPr>
          <w:trHeight w:val="454"/>
          <w:jc w:val="center"/>
        </w:trPr>
        <w:tc>
          <w:tcPr>
            <w:tcW w:w="1180" w:type="dxa"/>
            <w:vMerge/>
            <w:vAlign w:val="center"/>
          </w:tcPr>
          <w:p w14:paraId="1014C348"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07945DC7"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评估结论</w:t>
            </w:r>
          </w:p>
        </w:tc>
        <w:tc>
          <w:tcPr>
            <w:tcW w:w="5553" w:type="dxa"/>
            <w:gridSpan w:val="2"/>
            <w:vAlign w:val="center"/>
          </w:tcPr>
          <w:p w14:paraId="61DE4CBE"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经测试，</w:t>
            </w:r>
            <w:r>
              <w:rPr>
                <w:rFonts w:ascii="仿宋_GB2312" w:eastAsia="仿宋_GB2312" w:hAnsi="仿宋_GB2312" w:cs="仿宋_GB2312"/>
                <w:szCs w:val="21"/>
              </w:rPr>
              <w:t>5G</w:t>
            </w:r>
            <w:r>
              <w:rPr>
                <w:rFonts w:ascii="仿宋_GB2312" w:eastAsia="仿宋_GB2312" w:hAnsi="仿宋_GB2312" w:cs="仿宋_GB2312" w:hint="eastAsia"/>
                <w:szCs w:val="21"/>
              </w:rPr>
              <w:t>⁺</w:t>
            </w:r>
            <w:r>
              <w:rPr>
                <w:rFonts w:ascii="仿宋_GB2312" w:eastAsia="仿宋_GB2312" w:hAnsi="仿宋_GB2312" w:cs="仿宋_GB2312"/>
                <w:szCs w:val="21"/>
              </w:rPr>
              <w:t>智能银行</w:t>
            </w:r>
            <w:r>
              <w:rPr>
                <w:rFonts w:ascii="仿宋_GB2312" w:eastAsia="仿宋_GB2312" w:hAnsi="仿宋_GB2312" w:cs="仿宋_GB2312" w:hint="eastAsia"/>
                <w:szCs w:val="21"/>
              </w:rPr>
              <w:t>未发现高危缺陷，所有</w:t>
            </w:r>
            <w:proofErr w:type="gramStart"/>
            <w:r>
              <w:rPr>
                <w:rFonts w:ascii="仿宋_GB2312" w:eastAsia="仿宋_GB2312" w:hAnsi="仿宋_GB2312" w:cs="仿宋_GB2312" w:hint="eastAsia"/>
                <w:szCs w:val="21"/>
              </w:rPr>
              <w:t>中低危缺陷</w:t>
            </w:r>
            <w:proofErr w:type="gramEnd"/>
            <w:r>
              <w:rPr>
                <w:rFonts w:ascii="仿宋_GB2312" w:eastAsia="仿宋_GB2312" w:hAnsi="仿宋_GB2312" w:cs="仿宋_GB2312" w:hint="eastAsia"/>
                <w:szCs w:val="21"/>
              </w:rPr>
              <w:t>均已得到解决，牵头方及测试实施方等相关各方，一致同意软件技术安全质量满足金融应用要求。</w:t>
            </w:r>
          </w:p>
        </w:tc>
      </w:tr>
      <w:tr w:rsidR="00EA6A72" w14:paraId="26207EE9" w14:textId="77777777">
        <w:trPr>
          <w:trHeight w:val="454"/>
          <w:jc w:val="center"/>
        </w:trPr>
        <w:tc>
          <w:tcPr>
            <w:tcW w:w="1180" w:type="dxa"/>
            <w:vMerge/>
            <w:vAlign w:val="center"/>
          </w:tcPr>
          <w:p w14:paraId="4A15AB80"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3C6137F9" w14:textId="77777777" w:rsidR="00EA6A72" w:rsidRDefault="0089405A">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评估材料</w:t>
            </w:r>
          </w:p>
        </w:tc>
        <w:tc>
          <w:tcPr>
            <w:tcW w:w="5553" w:type="dxa"/>
            <w:gridSpan w:val="2"/>
            <w:vAlign w:val="center"/>
          </w:tcPr>
          <w:p w14:paraId="78AD2990" w14:textId="06D207BA" w:rsidR="00EA6A72" w:rsidRDefault="0032131B"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w:t>
            </w:r>
            <w:r w:rsidR="0089405A">
              <w:rPr>
                <w:rFonts w:ascii="仿宋_GB2312" w:eastAsia="仿宋_GB2312" w:hAnsi="仿宋_GB2312" w:cs="仿宋_GB2312"/>
                <w:szCs w:val="21"/>
              </w:rPr>
              <w:t>技术安全</w:t>
            </w:r>
            <w:r w:rsidR="00543904">
              <w:rPr>
                <w:rFonts w:ascii="仿宋_GB2312" w:eastAsia="仿宋_GB2312" w:hAnsi="仿宋_GB2312" w:cs="仿宋_GB2312" w:hint="eastAsia"/>
                <w:szCs w:val="21"/>
              </w:rPr>
              <w:t>性评估</w:t>
            </w:r>
            <w:r w:rsidR="0089405A">
              <w:rPr>
                <w:rFonts w:ascii="仿宋_GB2312" w:eastAsia="仿宋_GB2312" w:hAnsi="仿宋_GB2312" w:cs="仿宋_GB2312"/>
                <w:szCs w:val="21"/>
              </w:rPr>
              <w:t>报告</w:t>
            </w:r>
            <w:r w:rsidR="00543904">
              <w:rPr>
                <w:rFonts w:ascii="仿宋_GB2312" w:eastAsia="仿宋_GB2312" w:hAnsi="仿宋_GB2312" w:cs="仿宋_GB2312" w:hint="eastAsia"/>
                <w:szCs w:val="21"/>
              </w:rPr>
              <w:t>-</w:t>
            </w:r>
            <w:r w:rsidR="00543904">
              <w:rPr>
                <w:rFonts w:ascii="仿宋_GB2312" w:eastAsia="仿宋_GB2312" w:hAnsi="仿宋_GB2312" w:cs="仿宋_GB2312"/>
                <w:szCs w:val="21"/>
              </w:rPr>
              <w:t>5G</w:t>
            </w:r>
            <w:r w:rsidR="00543904">
              <w:rPr>
                <w:rFonts w:ascii="仿宋_GB2312" w:eastAsia="仿宋_GB2312" w:hAnsi="仿宋_GB2312" w:cs="仿宋_GB2312" w:hint="eastAsia"/>
                <w:szCs w:val="21"/>
              </w:rPr>
              <w:t>⁺</w:t>
            </w:r>
            <w:r w:rsidR="00543904">
              <w:rPr>
                <w:rFonts w:ascii="仿宋_GB2312" w:eastAsia="仿宋_GB2312" w:hAnsi="仿宋_GB2312" w:cs="仿宋_GB2312"/>
                <w:szCs w:val="21"/>
              </w:rPr>
              <w:t>智能银行</w:t>
            </w:r>
            <w:r>
              <w:rPr>
                <w:rFonts w:ascii="仿宋_GB2312" w:eastAsia="仿宋_GB2312" w:hAnsi="仿宋_GB2312" w:cs="仿宋_GB2312" w:hint="eastAsia"/>
                <w:szCs w:val="21"/>
              </w:rPr>
              <w:t>》</w:t>
            </w:r>
            <w:r w:rsidR="00291A6E">
              <w:rPr>
                <w:rFonts w:ascii="仿宋_GB2312" w:eastAsia="仿宋_GB2312" w:hAnsi="仿宋_GB2312" w:cs="仿宋_GB2312" w:hint="eastAsia"/>
                <w:szCs w:val="21"/>
              </w:rPr>
              <w:t>（见</w:t>
            </w:r>
            <w:r w:rsidR="007104EE">
              <w:rPr>
                <w:rFonts w:ascii="仿宋_GB2312" w:eastAsia="仿宋_GB2312" w:hAnsi="仿宋_GB2312" w:cs="仿宋_GB2312" w:hint="eastAsia"/>
                <w:szCs w:val="21"/>
              </w:rPr>
              <w:t>附件</w:t>
            </w:r>
            <w:r w:rsidR="00291A6E">
              <w:rPr>
                <w:rFonts w:ascii="仿宋_GB2312" w:eastAsia="仿宋_GB2312" w:hAnsi="仿宋_GB2312" w:cs="仿宋_GB2312" w:hint="eastAsia"/>
                <w:szCs w:val="21"/>
              </w:rPr>
              <w:t>1-3）</w:t>
            </w:r>
          </w:p>
        </w:tc>
      </w:tr>
      <w:tr w:rsidR="00EA6A72" w14:paraId="2747B3AC" w14:textId="77777777">
        <w:trPr>
          <w:trHeight w:val="454"/>
          <w:jc w:val="center"/>
        </w:trPr>
        <w:tc>
          <w:tcPr>
            <w:tcW w:w="1180" w:type="dxa"/>
            <w:vAlign w:val="center"/>
          </w:tcPr>
          <w:p w14:paraId="47B18563"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风险提示</w:t>
            </w:r>
          </w:p>
        </w:tc>
        <w:tc>
          <w:tcPr>
            <w:tcW w:w="7653" w:type="dxa"/>
            <w:gridSpan w:val="3"/>
            <w:vAlign w:val="center"/>
          </w:tcPr>
          <w:p w14:paraId="00571184" w14:textId="170D499F" w:rsidR="00EA6A72" w:rsidRDefault="001C7250">
            <w:pPr>
              <w:spacing w:after="0" w:line="360" w:lineRule="exact"/>
              <w:jc w:val="both"/>
              <w:rPr>
                <w:rFonts w:ascii="仿宋_GB2312" w:eastAsia="仿宋_GB2312" w:hAnsi="仿宋_GB2312" w:cs="仿宋_GB2312"/>
                <w:szCs w:val="21"/>
              </w:rPr>
            </w:pPr>
            <w:r w:rsidRPr="001C7250">
              <w:rPr>
                <w:rFonts w:ascii="仿宋_GB2312" w:eastAsia="仿宋_GB2312" w:hAnsi="仿宋_GB2312" w:cs="仿宋_GB2312" w:hint="eastAsia"/>
                <w:szCs w:val="21"/>
              </w:rPr>
              <w:t>5G作为新一代移动通讯技术，目前仍处于商用初级阶段，在金融领域应用的成熟度、安全性</w:t>
            </w:r>
            <w:r w:rsidR="00D8591E">
              <w:rPr>
                <w:rFonts w:ascii="仿宋_GB2312" w:eastAsia="仿宋_GB2312" w:hAnsi="仿宋_GB2312" w:cs="仿宋_GB2312" w:hint="eastAsia"/>
                <w:szCs w:val="21"/>
              </w:rPr>
              <w:t>和</w:t>
            </w:r>
            <w:r w:rsidRPr="001C7250">
              <w:rPr>
                <w:rFonts w:ascii="仿宋_GB2312" w:eastAsia="仿宋_GB2312" w:hAnsi="仿宋_GB2312" w:cs="仿宋_GB2312" w:hint="eastAsia"/>
                <w:szCs w:val="21"/>
              </w:rPr>
              <w:t>稳定性等还需进一步验证，亟需通过试点明确合适的应用场景和有效的风险处置</w:t>
            </w:r>
            <w:r w:rsidR="000A0B37">
              <w:rPr>
                <w:rFonts w:ascii="仿宋_GB2312" w:eastAsia="仿宋_GB2312" w:hAnsi="仿宋_GB2312" w:cs="仿宋_GB2312" w:hint="eastAsia"/>
                <w:szCs w:val="21"/>
              </w:rPr>
              <w:t>措施</w:t>
            </w:r>
            <w:r w:rsidRPr="001C7250">
              <w:rPr>
                <w:rFonts w:ascii="仿宋_GB2312" w:eastAsia="仿宋_GB2312" w:hAnsi="仿宋_GB2312" w:cs="仿宋_GB2312" w:hint="eastAsia"/>
                <w:szCs w:val="21"/>
              </w:rPr>
              <w:t>，确保5G技术在金融领域安全应用。</w:t>
            </w:r>
          </w:p>
        </w:tc>
      </w:tr>
      <w:tr w:rsidR="00EA6A72" w14:paraId="284F1CBD" w14:textId="77777777">
        <w:trPr>
          <w:trHeight w:val="454"/>
          <w:jc w:val="center"/>
        </w:trPr>
        <w:tc>
          <w:tcPr>
            <w:tcW w:w="1180" w:type="dxa"/>
            <w:vMerge w:val="restart"/>
            <w:vAlign w:val="center"/>
          </w:tcPr>
          <w:p w14:paraId="04C4823D"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风险防控</w:t>
            </w:r>
          </w:p>
        </w:tc>
        <w:tc>
          <w:tcPr>
            <w:tcW w:w="2100" w:type="dxa"/>
            <w:vAlign w:val="center"/>
          </w:tcPr>
          <w:p w14:paraId="01C51B3B" w14:textId="77777777" w:rsidR="00EA6A72" w:rsidRDefault="0089405A" w:rsidP="00ED5314">
            <w:pPr>
              <w:spacing w:after="0" w:line="360" w:lineRule="exact"/>
              <w:jc w:val="center"/>
              <w:rPr>
                <w:rFonts w:ascii="仿宋_GB2312" w:eastAsia="仿宋_GB2312" w:hAnsi="仿宋_GB2312" w:cs="仿宋_GB2312"/>
                <w:szCs w:val="21"/>
              </w:rPr>
            </w:pPr>
            <w:proofErr w:type="gramStart"/>
            <w:r>
              <w:rPr>
                <w:rFonts w:ascii="仿宋_GB2312" w:eastAsia="仿宋_GB2312" w:hAnsi="仿宋_GB2312" w:cs="仿宋_GB2312" w:hint="eastAsia"/>
                <w:szCs w:val="21"/>
              </w:rPr>
              <w:t>风控措施</w:t>
            </w:r>
            <w:proofErr w:type="gramEnd"/>
          </w:p>
        </w:tc>
        <w:tc>
          <w:tcPr>
            <w:tcW w:w="5553" w:type="dxa"/>
            <w:gridSpan w:val="2"/>
            <w:vAlign w:val="center"/>
          </w:tcPr>
          <w:p w14:paraId="52B044C3" w14:textId="77777777" w:rsidR="00AC3C7F" w:rsidRDefault="0089405A">
            <w:pPr>
              <w:spacing w:after="0" w:line="360" w:lineRule="exact"/>
              <w:jc w:val="both"/>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通过物联网平台自动感知并收集网点内人员、设备及环境</w:t>
            </w:r>
            <w:r w:rsidR="00E55569">
              <w:rPr>
                <w:rFonts w:ascii="仿宋_GB2312" w:eastAsia="仿宋_GB2312" w:hAnsi="仿宋_GB2312" w:cs="仿宋_GB2312" w:hint="eastAsia"/>
                <w:color w:val="000000" w:themeColor="text1"/>
                <w:szCs w:val="21"/>
              </w:rPr>
              <w:t>的</w:t>
            </w:r>
            <w:r>
              <w:rPr>
                <w:rFonts w:ascii="仿宋_GB2312" w:eastAsia="仿宋_GB2312" w:hAnsi="仿宋_GB2312" w:cs="仿宋_GB2312" w:hint="eastAsia"/>
                <w:color w:val="000000" w:themeColor="text1"/>
                <w:szCs w:val="21"/>
              </w:rPr>
              <w:t>动态变化，跟踪用户行为轨迹，实时监控设备运行状态及运行日志。</w:t>
            </w:r>
          </w:p>
          <w:p w14:paraId="01B25B56" w14:textId="5CA76557" w:rsidR="00EA6A72" w:rsidRDefault="00AC3C7F">
            <w:pPr>
              <w:spacing w:after="0" w:line="360" w:lineRule="exact"/>
              <w:jc w:val="both"/>
              <w:rPr>
                <w:rFonts w:ascii="仿宋_GB2312" w:eastAsia="仿宋_GB2312" w:hAnsi="仿宋_GB2312" w:cs="仿宋_GB2312"/>
                <w:color w:val="000000" w:themeColor="text1"/>
                <w:szCs w:val="21"/>
              </w:rPr>
            </w:pPr>
            <w:r>
              <w:rPr>
                <w:rFonts w:ascii="仿宋_GB2312" w:eastAsia="仿宋_GB2312" w:hAnsi="仿宋_GB2312" w:cs="仿宋_GB2312" w:hint="eastAsia"/>
                <w:szCs w:val="21"/>
              </w:rPr>
              <w:lastRenderedPageBreak/>
              <w:t>在数据使用上</w:t>
            </w:r>
            <w:r w:rsidRPr="00B76FC1">
              <w:rPr>
                <w:rFonts w:ascii="仿宋_GB2312" w:eastAsia="仿宋_GB2312" w:hAnsi="仿宋_GB2312" w:cs="仿宋_GB2312" w:hint="eastAsia"/>
                <w:szCs w:val="21"/>
              </w:rPr>
              <w:t>，</w:t>
            </w:r>
            <w:r w:rsidR="00462159">
              <w:rPr>
                <w:rFonts w:ascii="仿宋_GB2312" w:eastAsia="仿宋_GB2312" w:hAnsi="仿宋_GB2312" w:cs="仿宋_GB2312" w:hint="eastAsia"/>
                <w:szCs w:val="21"/>
              </w:rPr>
              <w:t>严格</w:t>
            </w:r>
            <w:r w:rsidRPr="00B76FC1">
              <w:rPr>
                <w:rFonts w:ascii="仿宋_GB2312" w:eastAsia="仿宋_GB2312" w:hAnsi="仿宋_GB2312" w:cs="仿宋_GB2312" w:hint="eastAsia"/>
                <w:szCs w:val="21"/>
              </w:rPr>
              <w:t>遵循“用户授权、最小够用”原则，加强数据全生命周期安全管理，严防用户数据的泄露、篡改和滥用。</w:t>
            </w:r>
          </w:p>
          <w:p w14:paraId="3266AEDD" w14:textId="4F4AD25E" w:rsidR="00EA6A72" w:rsidRDefault="0089405A">
            <w:pPr>
              <w:spacing w:after="0" w:line="360" w:lineRule="exact"/>
              <w:jc w:val="both"/>
              <w:rPr>
                <w:rFonts w:ascii="仿宋_GB2312" w:eastAsia="仿宋_GB2312" w:hAnsi="仿宋_GB2312" w:cs="仿宋_GB2312"/>
                <w:color w:val="000000" w:themeColor="text1"/>
                <w:szCs w:val="21"/>
              </w:rPr>
            </w:pPr>
            <w:r>
              <w:rPr>
                <w:rFonts w:ascii="仿宋_GB2312" w:eastAsia="仿宋_GB2312" w:hAnsi="仿宋_GB2312" w:cs="仿宋_GB2312" w:hint="eastAsia"/>
                <w:color w:val="000000" w:themeColor="text1"/>
                <w:szCs w:val="21"/>
              </w:rPr>
              <w:t>若监测到算法黑箱、系统漏洞等系统问题，自动阻断交易，同时将问题日志推送至后台运维管理员，提前采取预控</w:t>
            </w:r>
            <w:r w:rsidR="0082388C">
              <w:rPr>
                <w:rFonts w:ascii="仿宋_GB2312" w:eastAsia="仿宋_GB2312" w:hAnsi="仿宋_GB2312" w:cs="仿宋_GB2312" w:hint="eastAsia"/>
                <w:color w:val="000000" w:themeColor="text1"/>
                <w:szCs w:val="21"/>
              </w:rPr>
              <w:t>措施</w:t>
            </w:r>
            <w:r>
              <w:rPr>
                <w:rFonts w:ascii="仿宋_GB2312" w:eastAsia="仿宋_GB2312" w:hAnsi="仿宋_GB2312" w:cs="仿宋_GB2312" w:hint="eastAsia"/>
                <w:color w:val="000000" w:themeColor="text1"/>
                <w:szCs w:val="21"/>
              </w:rPr>
              <w:t>。</w:t>
            </w:r>
          </w:p>
        </w:tc>
      </w:tr>
      <w:tr w:rsidR="00EA6A72" w14:paraId="4DBF2C96" w14:textId="77777777">
        <w:trPr>
          <w:trHeight w:val="454"/>
          <w:jc w:val="center"/>
        </w:trPr>
        <w:tc>
          <w:tcPr>
            <w:tcW w:w="1180" w:type="dxa"/>
            <w:vMerge/>
            <w:vAlign w:val="center"/>
          </w:tcPr>
          <w:p w14:paraId="7E0E434A"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04387CC6"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风险补偿机制</w:t>
            </w:r>
          </w:p>
        </w:tc>
        <w:tc>
          <w:tcPr>
            <w:tcW w:w="5553" w:type="dxa"/>
            <w:gridSpan w:val="2"/>
            <w:vAlign w:val="center"/>
          </w:tcPr>
          <w:p w14:paraId="06177A65" w14:textId="08C7E677" w:rsidR="00EA6A72" w:rsidRDefault="00F13282">
            <w:pPr>
              <w:spacing w:after="0" w:line="360" w:lineRule="exact"/>
              <w:jc w:val="both"/>
              <w:rPr>
                <w:rFonts w:ascii="仿宋_GB2312" w:eastAsia="仿宋_GB2312" w:hAnsi="仿宋_GB2312" w:cs="仿宋_GB2312"/>
                <w:szCs w:val="21"/>
              </w:rPr>
            </w:pPr>
            <w:r w:rsidRPr="00F13282">
              <w:rPr>
                <w:rFonts w:ascii="仿宋_GB2312" w:eastAsia="仿宋_GB2312" w:hAnsi="仿宋_GB2312" w:cs="仿宋_GB2312" w:hint="eastAsia"/>
                <w:color w:val="000000" w:themeColor="text1"/>
                <w:szCs w:val="21"/>
              </w:rPr>
              <w:t>针对可能存在的风险，建立风险补偿措施，明确风险责任认定方式、制定风险赔付机制，保障金融消费者合法权益。在出现风险</w:t>
            </w:r>
            <w:r w:rsidR="00ED1160">
              <w:rPr>
                <w:rFonts w:ascii="仿宋_GB2312" w:eastAsia="仿宋_GB2312" w:hAnsi="仿宋_GB2312" w:cs="仿宋_GB2312" w:hint="eastAsia"/>
                <w:color w:val="000000" w:themeColor="text1"/>
                <w:szCs w:val="21"/>
              </w:rPr>
              <w:t>并</w:t>
            </w:r>
            <w:r w:rsidRPr="00F13282">
              <w:rPr>
                <w:rFonts w:ascii="仿宋_GB2312" w:eastAsia="仿宋_GB2312" w:hAnsi="仿宋_GB2312" w:cs="仿宋_GB2312" w:hint="eastAsia"/>
                <w:color w:val="000000" w:themeColor="text1"/>
                <w:szCs w:val="21"/>
              </w:rPr>
              <w:t>造成用户资金损失时，按照</w:t>
            </w:r>
            <w:r w:rsidRPr="00F13282">
              <w:rPr>
                <w:rFonts w:ascii="仿宋_GB2312" w:eastAsia="仿宋_GB2312" w:hAnsi="仿宋_GB2312" w:cs="仿宋_GB2312"/>
                <w:color w:val="000000" w:themeColor="text1"/>
                <w:szCs w:val="21"/>
              </w:rPr>
              <w:t>5G</w:t>
            </w:r>
            <w:r w:rsidRPr="00F13282">
              <w:rPr>
                <w:rFonts w:ascii="MS Gothic" w:eastAsia="MS Gothic" w:hAnsi="MS Gothic" w:cs="MS Gothic" w:hint="eastAsia"/>
                <w:color w:val="000000" w:themeColor="text1"/>
                <w:szCs w:val="21"/>
              </w:rPr>
              <w:t>⁺</w:t>
            </w:r>
            <w:r w:rsidRPr="00F13282">
              <w:rPr>
                <w:rFonts w:ascii="仿宋_GB2312" w:eastAsia="仿宋_GB2312" w:hAnsi="仿宋_GB2312" w:cs="仿宋_GB2312" w:hint="eastAsia"/>
                <w:color w:val="000000" w:themeColor="text1"/>
                <w:szCs w:val="21"/>
              </w:rPr>
              <w:t>智能银行相关客户投诉及赔付处理机制</w:t>
            </w:r>
            <w:r w:rsidR="00291A6E">
              <w:rPr>
                <w:rFonts w:ascii="仿宋_GB2312" w:eastAsia="仿宋_GB2312" w:hAnsi="仿宋_GB2312" w:cs="仿宋_GB2312" w:hint="eastAsia"/>
                <w:color w:val="000000" w:themeColor="text1"/>
                <w:szCs w:val="21"/>
              </w:rPr>
              <w:t>（见</w:t>
            </w:r>
            <w:r w:rsidR="007104EE">
              <w:rPr>
                <w:rFonts w:ascii="仿宋_GB2312" w:eastAsia="仿宋_GB2312" w:hAnsi="仿宋_GB2312" w:cs="仿宋_GB2312" w:hint="eastAsia"/>
                <w:color w:val="000000" w:themeColor="text1"/>
                <w:szCs w:val="21"/>
              </w:rPr>
              <w:t>附件</w:t>
            </w:r>
            <w:r w:rsidR="00291A6E">
              <w:rPr>
                <w:rFonts w:ascii="仿宋_GB2312" w:eastAsia="仿宋_GB2312" w:hAnsi="仿宋_GB2312" w:cs="仿宋_GB2312" w:hint="eastAsia"/>
                <w:color w:val="000000" w:themeColor="text1"/>
                <w:szCs w:val="21"/>
              </w:rPr>
              <w:t>1-4）</w:t>
            </w:r>
            <w:r w:rsidRPr="00F13282">
              <w:rPr>
                <w:rFonts w:ascii="仿宋_GB2312" w:eastAsia="仿宋_GB2312" w:hAnsi="仿宋_GB2312" w:cs="仿宋_GB2312" w:hint="eastAsia"/>
                <w:color w:val="000000" w:themeColor="text1"/>
                <w:szCs w:val="21"/>
              </w:rPr>
              <w:t>赔付客户。</w:t>
            </w:r>
          </w:p>
        </w:tc>
      </w:tr>
      <w:tr w:rsidR="00EA6A72" w14:paraId="2C7F0993" w14:textId="77777777">
        <w:trPr>
          <w:trHeight w:val="454"/>
          <w:jc w:val="center"/>
        </w:trPr>
        <w:tc>
          <w:tcPr>
            <w:tcW w:w="1180" w:type="dxa"/>
            <w:vMerge/>
            <w:vAlign w:val="center"/>
          </w:tcPr>
          <w:p w14:paraId="3A1E63AA"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3AE23D2F"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退出机制</w:t>
            </w:r>
          </w:p>
        </w:tc>
        <w:tc>
          <w:tcPr>
            <w:tcW w:w="5553" w:type="dxa"/>
            <w:gridSpan w:val="2"/>
            <w:vAlign w:val="center"/>
          </w:tcPr>
          <w:p w14:paraId="14521868" w14:textId="656207A4" w:rsidR="00EA6A72" w:rsidRDefault="003A3CA7">
            <w:pPr>
              <w:spacing w:after="0" w:line="360" w:lineRule="exact"/>
              <w:jc w:val="both"/>
              <w:rPr>
                <w:rFonts w:ascii="仿宋_GB2312" w:eastAsia="仿宋_GB2312" w:hAnsi="仿宋_GB2312" w:cs="仿宋_GB2312"/>
                <w:szCs w:val="21"/>
              </w:rPr>
            </w:pPr>
            <w:r w:rsidRPr="003A3CA7">
              <w:rPr>
                <w:rFonts w:ascii="仿宋_GB2312" w:eastAsia="仿宋_GB2312" w:hAnsi="仿宋_GB2312" w:cs="仿宋_GB2312" w:hint="eastAsia"/>
                <w:szCs w:val="21"/>
              </w:rPr>
              <w:t>运营过程中发现重大缺陷且无法解决时，按照相关退出方案</w:t>
            </w:r>
            <w:r w:rsidR="00291A6E">
              <w:rPr>
                <w:rFonts w:ascii="仿宋_GB2312" w:eastAsia="仿宋_GB2312" w:hAnsi="仿宋_GB2312" w:cs="仿宋_GB2312" w:hint="eastAsia"/>
                <w:szCs w:val="21"/>
              </w:rPr>
              <w:t>（见</w:t>
            </w:r>
            <w:r w:rsidR="007104EE">
              <w:rPr>
                <w:rFonts w:ascii="仿宋_GB2312" w:eastAsia="仿宋_GB2312" w:hAnsi="仿宋_GB2312" w:cs="仿宋_GB2312" w:hint="eastAsia"/>
                <w:szCs w:val="21"/>
              </w:rPr>
              <w:t>附件</w:t>
            </w:r>
            <w:r w:rsidR="00291A6E">
              <w:rPr>
                <w:rFonts w:ascii="仿宋_GB2312" w:eastAsia="仿宋_GB2312" w:hAnsi="仿宋_GB2312" w:cs="仿宋_GB2312" w:hint="eastAsia"/>
                <w:szCs w:val="21"/>
              </w:rPr>
              <w:t>1-5）</w:t>
            </w:r>
            <w:r w:rsidRPr="003A3CA7">
              <w:rPr>
                <w:rFonts w:ascii="仿宋_GB2312" w:eastAsia="仿宋_GB2312" w:hAnsi="仿宋_GB2312" w:cs="仿宋_GB2312" w:hint="eastAsia"/>
                <w:szCs w:val="21"/>
              </w:rPr>
              <w:t>终止服务，并自动部署相应控制策略和措施，切实保障消费者资金和信息安全。当发生网络安全事件时，立即终止提供相关服务，及时处置网络安全风险，并按照规定向有关主管部门报告；当设备客户端发生用户个人信息泄露、毁损、丢失的情况时，立即终止客户端服务，</w:t>
            </w:r>
            <w:r w:rsidR="00F7111B">
              <w:rPr>
                <w:rFonts w:ascii="仿宋_GB2312" w:eastAsia="仿宋_GB2312" w:hAnsi="仿宋_GB2312" w:cs="仿宋_GB2312" w:hint="eastAsia"/>
                <w:szCs w:val="21"/>
              </w:rPr>
              <w:t>对</w:t>
            </w:r>
            <w:r w:rsidR="00F7111B" w:rsidRPr="003A3CA7">
              <w:rPr>
                <w:rFonts w:ascii="仿宋_GB2312" w:eastAsia="仿宋_GB2312" w:hAnsi="仿宋_GB2312" w:cs="仿宋_GB2312" w:hint="eastAsia"/>
                <w:szCs w:val="21"/>
              </w:rPr>
              <w:t>日志文件</w:t>
            </w:r>
            <w:r w:rsidRPr="003A3CA7">
              <w:rPr>
                <w:rFonts w:ascii="仿宋_GB2312" w:eastAsia="仿宋_GB2312" w:hAnsi="仿宋_GB2312" w:cs="仿宋_GB2312" w:hint="eastAsia"/>
                <w:szCs w:val="21"/>
              </w:rPr>
              <w:t>加密，通过远程升级客户端</w:t>
            </w:r>
            <w:r w:rsidR="00014BDE">
              <w:rPr>
                <w:rFonts w:ascii="仿宋_GB2312" w:eastAsia="仿宋_GB2312" w:hAnsi="仿宋_GB2312" w:cs="仿宋_GB2312" w:hint="eastAsia"/>
                <w:szCs w:val="21"/>
              </w:rPr>
              <w:t>并</w:t>
            </w:r>
            <w:r w:rsidRPr="003A3CA7">
              <w:rPr>
                <w:rFonts w:ascii="仿宋_GB2312" w:eastAsia="仿宋_GB2312" w:hAnsi="仿宋_GB2312" w:cs="仿宋_GB2312" w:hint="eastAsia"/>
                <w:szCs w:val="21"/>
              </w:rPr>
              <w:t xml:space="preserve">修补漏洞，同时按照规定及时告知用户并向有关主管部门报告。 </w:t>
            </w:r>
            <w:r w:rsidR="0089405A">
              <w:rPr>
                <w:rFonts w:ascii="仿宋_GB2312" w:eastAsia="仿宋_GB2312" w:hAnsi="仿宋_GB2312" w:cs="仿宋_GB2312"/>
                <w:szCs w:val="21"/>
              </w:rPr>
              <w:t xml:space="preserve"> </w:t>
            </w:r>
          </w:p>
        </w:tc>
      </w:tr>
      <w:tr w:rsidR="00EA6A72" w14:paraId="550F99DF" w14:textId="77777777">
        <w:trPr>
          <w:trHeight w:val="454"/>
          <w:jc w:val="center"/>
        </w:trPr>
        <w:tc>
          <w:tcPr>
            <w:tcW w:w="1180" w:type="dxa"/>
            <w:vMerge/>
            <w:vAlign w:val="center"/>
          </w:tcPr>
          <w:p w14:paraId="209F244C"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Align w:val="center"/>
          </w:tcPr>
          <w:p w14:paraId="14402D90"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应急预案</w:t>
            </w:r>
          </w:p>
        </w:tc>
        <w:tc>
          <w:tcPr>
            <w:tcW w:w="5553" w:type="dxa"/>
            <w:gridSpan w:val="2"/>
            <w:vAlign w:val="center"/>
          </w:tcPr>
          <w:p w14:paraId="7D209865" w14:textId="151AF02A"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szCs w:val="21"/>
              </w:rPr>
              <w:t>5G</w:t>
            </w:r>
            <w:r>
              <w:rPr>
                <w:rFonts w:ascii="MS Gothic" w:eastAsia="MS Gothic" w:hAnsi="MS Gothic" w:cs="MS Gothic" w:hint="eastAsia"/>
                <w:szCs w:val="21"/>
              </w:rPr>
              <w:t>⁺</w:t>
            </w:r>
            <w:r>
              <w:rPr>
                <w:rFonts w:ascii="仿宋_GB2312" w:eastAsia="仿宋_GB2312" w:hAnsi="仿宋_GB2312" w:cs="仿宋_GB2312" w:hint="eastAsia"/>
                <w:szCs w:val="21"/>
              </w:rPr>
              <w:t>智能银行金融业务若发生应急情况，将按照我行</w:t>
            </w:r>
            <w:r>
              <w:rPr>
                <w:rFonts w:ascii="仿宋_GB2312" w:eastAsia="仿宋_GB2312" w:hAnsi="仿宋_GB2312" w:cs="仿宋_GB2312"/>
                <w:szCs w:val="21"/>
              </w:rPr>
              <w:t>5G</w:t>
            </w:r>
            <w:r>
              <w:rPr>
                <w:rFonts w:ascii="MS Gothic" w:eastAsia="MS Gothic" w:hAnsi="MS Gothic" w:cs="MS Gothic" w:hint="eastAsia"/>
                <w:szCs w:val="21"/>
              </w:rPr>
              <w:t>⁺</w:t>
            </w:r>
            <w:r>
              <w:rPr>
                <w:rFonts w:ascii="仿宋_GB2312" w:eastAsia="仿宋_GB2312" w:hAnsi="仿宋_GB2312" w:cs="仿宋_GB2312" w:hint="eastAsia"/>
                <w:szCs w:val="21"/>
              </w:rPr>
              <w:t>智能银行相关应急预案</w:t>
            </w:r>
            <w:r w:rsidR="00291A6E">
              <w:rPr>
                <w:rFonts w:ascii="仿宋_GB2312" w:eastAsia="仿宋_GB2312" w:hAnsi="仿宋_GB2312" w:cs="仿宋_GB2312" w:hint="eastAsia"/>
                <w:szCs w:val="21"/>
              </w:rPr>
              <w:t>（见</w:t>
            </w:r>
            <w:r w:rsidR="007104EE">
              <w:rPr>
                <w:rFonts w:ascii="仿宋_GB2312" w:eastAsia="仿宋_GB2312" w:hAnsi="仿宋_GB2312" w:cs="仿宋_GB2312" w:hint="eastAsia"/>
                <w:szCs w:val="21"/>
              </w:rPr>
              <w:t>附件</w:t>
            </w:r>
            <w:r w:rsidR="00291A6E">
              <w:rPr>
                <w:rFonts w:ascii="仿宋_GB2312" w:eastAsia="仿宋_GB2312" w:hAnsi="仿宋_GB2312" w:cs="仿宋_GB2312" w:hint="eastAsia"/>
                <w:szCs w:val="21"/>
              </w:rPr>
              <w:t>1-6）</w:t>
            </w:r>
            <w:r>
              <w:rPr>
                <w:rFonts w:ascii="仿宋_GB2312" w:eastAsia="仿宋_GB2312" w:hAnsi="仿宋_GB2312" w:cs="仿宋_GB2312" w:hint="eastAsia"/>
                <w:szCs w:val="21"/>
              </w:rPr>
              <w:t>执行，确保服务正常。</w:t>
            </w:r>
          </w:p>
          <w:p w14:paraId="6683458A" w14:textId="594039B9"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szCs w:val="21"/>
              </w:rPr>
              <w:t>5G</w:t>
            </w:r>
            <w:r>
              <w:rPr>
                <w:rFonts w:ascii="MS Gothic" w:eastAsia="MS Gothic" w:hAnsi="MS Gothic" w:cs="MS Gothic" w:hint="eastAsia"/>
                <w:szCs w:val="21"/>
              </w:rPr>
              <w:t>⁺</w:t>
            </w:r>
            <w:r>
              <w:rPr>
                <w:rFonts w:ascii="仿宋_GB2312" w:eastAsia="仿宋_GB2312" w:hAnsi="仿宋_GB2312" w:cs="仿宋_GB2312" w:hint="eastAsia"/>
                <w:szCs w:val="21"/>
              </w:rPr>
              <w:t>智能银行日常管理由后台运维管理员实时监控，负责组织每天网点营业前的系统健康检查，发现异常立即联系专家团队解决处理；出现需人工紧急处理的生产问题时，运</w:t>
            </w:r>
            <w:proofErr w:type="gramStart"/>
            <w:r>
              <w:rPr>
                <w:rFonts w:ascii="仿宋_GB2312" w:eastAsia="仿宋_GB2312" w:hAnsi="仿宋_GB2312" w:cs="仿宋_GB2312" w:hint="eastAsia"/>
                <w:szCs w:val="21"/>
              </w:rPr>
              <w:t>维人员第一时间跟项目</w:t>
            </w:r>
            <w:proofErr w:type="gramEnd"/>
            <w:r>
              <w:rPr>
                <w:rFonts w:ascii="仿宋_GB2312" w:eastAsia="仿宋_GB2312" w:hAnsi="仿宋_GB2312" w:cs="仿宋_GB2312" w:hint="eastAsia"/>
                <w:szCs w:val="21"/>
              </w:rPr>
              <w:t>经理、技术经理汇报处理方案，经审批同意后，双人上线操作执行变更。</w:t>
            </w:r>
          </w:p>
        </w:tc>
      </w:tr>
      <w:tr w:rsidR="00EA6A72" w14:paraId="282C9267" w14:textId="77777777">
        <w:trPr>
          <w:trHeight w:val="499"/>
          <w:jc w:val="center"/>
        </w:trPr>
        <w:tc>
          <w:tcPr>
            <w:tcW w:w="1180" w:type="dxa"/>
            <w:vMerge w:val="restart"/>
            <w:vAlign w:val="center"/>
          </w:tcPr>
          <w:p w14:paraId="528ED893"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投诉响应机制</w:t>
            </w:r>
          </w:p>
        </w:tc>
        <w:tc>
          <w:tcPr>
            <w:tcW w:w="2100" w:type="dxa"/>
            <w:vMerge w:val="restart"/>
            <w:vAlign w:val="center"/>
          </w:tcPr>
          <w:p w14:paraId="4D177411"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机构投诉</w:t>
            </w:r>
          </w:p>
        </w:tc>
        <w:tc>
          <w:tcPr>
            <w:tcW w:w="2129" w:type="dxa"/>
            <w:vAlign w:val="center"/>
          </w:tcPr>
          <w:p w14:paraId="17CC82E6"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投诉渠道</w:t>
            </w:r>
          </w:p>
        </w:tc>
        <w:tc>
          <w:tcPr>
            <w:tcW w:w="3424" w:type="dxa"/>
            <w:vAlign w:val="center"/>
          </w:tcPr>
          <w:p w14:paraId="1BC6796A" w14:textId="7113399A"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95533</w:t>
            </w:r>
            <w:r w:rsidR="002E63B8">
              <w:rPr>
                <w:rFonts w:ascii="仿宋_GB2312" w:eastAsia="仿宋_GB2312" w:hAnsi="仿宋_GB2312" w:cs="仿宋_GB2312" w:hint="eastAsia"/>
                <w:szCs w:val="21"/>
              </w:rPr>
              <w:t>客户服务热线</w:t>
            </w:r>
            <w:r>
              <w:rPr>
                <w:rFonts w:ascii="仿宋_GB2312" w:eastAsia="仿宋_GB2312" w:hAnsi="仿宋_GB2312" w:cs="仿宋_GB2312" w:hint="eastAsia"/>
                <w:szCs w:val="21"/>
              </w:rPr>
              <w:t>、</w:t>
            </w:r>
            <w:hyperlink r:id="rId10" w:history="1">
              <w:r>
                <w:rPr>
                  <w:rFonts w:ascii="仿宋_GB2312" w:eastAsia="仿宋_GB2312" w:hAnsi="仿宋_GB2312" w:cs="仿宋_GB2312" w:hint="eastAsia"/>
                  <w:szCs w:val="21"/>
                </w:rPr>
                <w:t>www.ccb.com</w:t>
              </w:r>
            </w:hyperlink>
            <w:r>
              <w:rPr>
                <w:rFonts w:ascii="仿宋_GB2312" w:eastAsia="仿宋_GB2312" w:hAnsi="仿宋_GB2312" w:cs="仿宋_GB2312" w:hint="eastAsia"/>
                <w:szCs w:val="21"/>
              </w:rPr>
              <w:t>、建行手机银行、</w:t>
            </w:r>
            <w:proofErr w:type="gramStart"/>
            <w:r>
              <w:rPr>
                <w:rFonts w:ascii="仿宋_GB2312" w:eastAsia="仿宋_GB2312" w:hAnsi="仿宋_GB2312" w:cs="仿宋_GB2312" w:hint="eastAsia"/>
                <w:szCs w:val="21"/>
              </w:rPr>
              <w:t>微信银行</w:t>
            </w:r>
            <w:proofErr w:type="gramEnd"/>
            <w:r>
              <w:rPr>
                <w:rFonts w:ascii="仿宋_GB2312" w:eastAsia="仿宋_GB2312" w:hAnsi="仿宋_GB2312" w:cs="仿宋_GB2312" w:hint="eastAsia"/>
                <w:szCs w:val="21"/>
              </w:rPr>
              <w:t>。</w:t>
            </w:r>
          </w:p>
        </w:tc>
      </w:tr>
      <w:tr w:rsidR="00EA6A72" w14:paraId="670BAA25" w14:textId="77777777">
        <w:trPr>
          <w:trHeight w:val="499"/>
          <w:jc w:val="center"/>
        </w:trPr>
        <w:tc>
          <w:tcPr>
            <w:tcW w:w="1180" w:type="dxa"/>
            <w:vMerge/>
            <w:vAlign w:val="center"/>
          </w:tcPr>
          <w:p w14:paraId="50F94A6A"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ign w:val="center"/>
          </w:tcPr>
          <w:p w14:paraId="06A8ABEA" w14:textId="77777777" w:rsidR="00EA6A72" w:rsidRDefault="00EA6A72" w:rsidP="00ED5314">
            <w:pPr>
              <w:spacing w:after="0" w:line="360" w:lineRule="exact"/>
              <w:jc w:val="center"/>
              <w:rPr>
                <w:rFonts w:ascii="仿宋_GB2312" w:eastAsia="仿宋_GB2312" w:hAnsi="仿宋_GB2312" w:cs="仿宋_GB2312"/>
                <w:szCs w:val="21"/>
              </w:rPr>
            </w:pPr>
          </w:p>
        </w:tc>
        <w:tc>
          <w:tcPr>
            <w:tcW w:w="2129" w:type="dxa"/>
            <w:vAlign w:val="center"/>
          </w:tcPr>
          <w:p w14:paraId="0FD7D699"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投诉受理</w:t>
            </w:r>
          </w:p>
          <w:p w14:paraId="665073F6"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与处理机制</w:t>
            </w:r>
          </w:p>
        </w:tc>
        <w:tc>
          <w:tcPr>
            <w:tcW w:w="3424" w:type="dxa"/>
            <w:vAlign w:val="center"/>
          </w:tcPr>
          <w:p w14:paraId="377D900A"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将在</w:t>
            </w:r>
            <w:r>
              <w:rPr>
                <w:rFonts w:ascii="仿宋_GB2312" w:eastAsia="仿宋_GB2312" w:hAnsi="仿宋_GB2312" w:cs="仿宋_GB2312"/>
                <w:szCs w:val="21"/>
              </w:rPr>
              <w:t>官方网站和各营业网点醒目位置公示客户投诉方式，确保投诉渠道畅通，客户投诉处理流程包括投诉受理、投诉核查、投诉处理、回访跟踪、责任认定等</w:t>
            </w:r>
            <w:r>
              <w:rPr>
                <w:rFonts w:ascii="仿宋_GB2312" w:eastAsia="仿宋_GB2312" w:hAnsi="仿宋_GB2312" w:cs="仿宋_GB2312" w:hint="eastAsia"/>
                <w:szCs w:val="21"/>
              </w:rPr>
              <w:t>。</w:t>
            </w:r>
            <w:r>
              <w:rPr>
                <w:rFonts w:ascii="仿宋_GB2312" w:eastAsia="仿宋_GB2312" w:hAnsi="仿宋_GB2312" w:cs="仿宋_GB2312"/>
                <w:szCs w:val="21"/>
              </w:rPr>
              <w:lastRenderedPageBreak/>
              <w:t>受理客户投诉时，第一时间做好客户解释安抚工作，最大限度将投诉问题解决在当时当地，不能即时答复客户的，通过新一代统一客服平台完整填写客户工单，交由投诉处理机构处理</w:t>
            </w:r>
            <w:r>
              <w:rPr>
                <w:rFonts w:ascii="仿宋_GB2312" w:eastAsia="仿宋_GB2312" w:hAnsi="仿宋_GB2312" w:cs="仿宋_GB2312" w:hint="eastAsia"/>
                <w:szCs w:val="21"/>
              </w:rPr>
              <w:t>。</w:t>
            </w:r>
          </w:p>
        </w:tc>
      </w:tr>
      <w:tr w:rsidR="00EA6A72" w14:paraId="6EF9EF97" w14:textId="77777777">
        <w:trPr>
          <w:trHeight w:val="499"/>
          <w:jc w:val="center"/>
        </w:trPr>
        <w:tc>
          <w:tcPr>
            <w:tcW w:w="1180" w:type="dxa"/>
            <w:vMerge/>
            <w:vAlign w:val="center"/>
          </w:tcPr>
          <w:p w14:paraId="458B3777"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restart"/>
            <w:vAlign w:val="center"/>
          </w:tcPr>
          <w:p w14:paraId="08DBAAE6"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自律投诉</w:t>
            </w:r>
          </w:p>
        </w:tc>
        <w:tc>
          <w:tcPr>
            <w:tcW w:w="2129" w:type="dxa"/>
            <w:vAlign w:val="center"/>
          </w:tcPr>
          <w:p w14:paraId="6E37E4C9"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投诉渠道</w:t>
            </w:r>
          </w:p>
        </w:tc>
        <w:tc>
          <w:tcPr>
            <w:tcW w:w="3424" w:type="dxa"/>
            <w:vAlign w:val="center"/>
          </w:tcPr>
          <w:p w14:paraId="7150EBCD"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受理机构：北京市金融消费纠纷人民调解委员会 </w:t>
            </w:r>
          </w:p>
          <w:p w14:paraId="4873102F"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地址：北京市西城区南礼士路66号建威大厦 电话：010-59512793/010-59512794</w:t>
            </w:r>
          </w:p>
          <w:p w14:paraId="0140A688"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官方网站：www.pcab.org.cn </w:t>
            </w:r>
          </w:p>
          <w:p w14:paraId="28415F83"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公众号：pcab_2017</w:t>
            </w:r>
          </w:p>
        </w:tc>
      </w:tr>
      <w:tr w:rsidR="00EA6A72" w14:paraId="4B837211" w14:textId="77777777">
        <w:trPr>
          <w:trHeight w:val="499"/>
          <w:jc w:val="center"/>
        </w:trPr>
        <w:tc>
          <w:tcPr>
            <w:tcW w:w="1180" w:type="dxa"/>
            <w:vMerge/>
            <w:vAlign w:val="center"/>
          </w:tcPr>
          <w:p w14:paraId="056978BF" w14:textId="77777777" w:rsidR="00EA6A72" w:rsidRDefault="00EA6A72" w:rsidP="00ED5314">
            <w:pPr>
              <w:spacing w:after="0" w:line="360" w:lineRule="exact"/>
              <w:jc w:val="center"/>
              <w:rPr>
                <w:rFonts w:ascii="仿宋_GB2312" w:eastAsia="仿宋_GB2312" w:hAnsi="仿宋_GB2312" w:cs="仿宋_GB2312"/>
                <w:szCs w:val="21"/>
              </w:rPr>
            </w:pPr>
          </w:p>
        </w:tc>
        <w:tc>
          <w:tcPr>
            <w:tcW w:w="2100" w:type="dxa"/>
            <w:vMerge/>
            <w:vAlign w:val="center"/>
          </w:tcPr>
          <w:p w14:paraId="3A49DD14" w14:textId="77777777" w:rsidR="00EA6A72" w:rsidRDefault="00EA6A72" w:rsidP="00ED5314">
            <w:pPr>
              <w:spacing w:after="0" w:line="360" w:lineRule="exact"/>
              <w:jc w:val="center"/>
              <w:rPr>
                <w:rFonts w:ascii="仿宋_GB2312" w:eastAsia="仿宋_GB2312" w:hAnsi="仿宋_GB2312" w:cs="仿宋_GB2312"/>
                <w:szCs w:val="21"/>
              </w:rPr>
            </w:pPr>
          </w:p>
        </w:tc>
        <w:tc>
          <w:tcPr>
            <w:tcW w:w="2129" w:type="dxa"/>
            <w:vAlign w:val="center"/>
          </w:tcPr>
          <w:p w14:paraId="3EB309C1"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投诉受理</w:t>
            </w:r>
          </w:p>
          <w:p w14:paraId="758A0182"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与处理机制</w:t>
            </w:r>
          </w:p>
        </w:tc>
        <w:tc>
          <w:tcPr>
            <w:tcW w:w="3424" w:type="dxa"/>
            <w:vAlign w:val="center"/>
          </w:tcPr>
          <w:p w14:paraId="4A68D49B"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北京市金融消费纠纷人民调解委员会（以下简称“金调委”）是经北京市司法局备案，依托北京市支付清算协会设立的专门从事北京市金融消费纠纷调解的人民调解委员会。 </w:t>
            </w:r>
          </w:p>
          <w:p w14:paraId="32B12C3B" w14:textId="77777777" w:rsidR="00EA6A72" w:rsidRDefault="0089405A">
            <w:pPr>
              <w:spacing w:after="0" w:line="360" w:lineRule="exact"/>
              <w:jc w:val="both"/>
              <w:rPr>
                <w:rFonts w:ascii="仿宋_GB2312" w:eastAsia="仿宋_GB2312" w:hAnsi="仿宋_GB2312" w:cs="仿宋_GB2312"/>
                <w:szCs w:val="21"/>
              </w:rPr>
            </w:pPr>
            <w:proofErr w:type="gramStart"/>
            <w:r>
              <w:rPr>
                <w:rFonts w:ascii="仿宋_GB2312" w:eastAsia="仿宋_GB2312" w:hAnsi="仿宋_GB2312" w:cs="仿宋_GB2312" w:hint="eastAsia"/>
                <w:szCs w:val="21"/>
              </w:rPr>
              <w:t>金调委</w:t>
            </w:r>
            <w:proofErr w:type="gramEnd"/>
            <w:r>
              <w:rPr>
                <w:rFonts w:ascii="仿宋_GB2312" w:eastAsia="仿宋_GB2312" w:hAnsi="仿宋_GB2312" w:cs="仿宋_GB2312" w:hint="eastAsia"/>
                <w:szCs w:val="21"/>
              </w:rPr>
              <w:t>的宗旨是通过开辟多元化调解渠道，以人民调解的方式，独立公正、高效经济地化解金融行业消费纠纷，营造遵守国家宪法、法律、法规和社会道德风尚的良好环境，推动金融消费行业的健康可持续发展。 </w:t>
            </w:r>
          </w:p>
          <w:p w14:paraId="51FA98D1" w14:textId="77777777" w:rsidR="00EA6A72" w:rsidRDefault="0089405A">
            <w:pPr>
              <w:spacing w:after="0" w:line="360" w:lineRule="exact"/>
              <w:jc w:val="both"/>
              <w:rPr>
                <w:rFonts w:ascii="仿宋_GB2312" w:eastAsia="仿宋_GB2312" w:hAnsi="仿宋_GB2312" w:cs="仿宋_GB2312"/>
                <w:szCs w:val="21"/>
              </w:rPr>
            </w:pPr>
            <w:proofErr w:type="gramStart"/>
            <w:r>
              <w:rPr>
                <w:rFonts w:ascii="仿宋_GB2312" w:eastAsia="仿宋_GB2312" w:hAnsi="仿宋_GB2312" w:cs="仿宋_GB2312" w:hint="eastAsia"/>
                <w:szCs w:val="21"/>
              </w:rPr>
              <w:t>金调委</w:t>
            </w:r>
            <w:proofErr w:type="gramEnd"/>
            <w:r>
              <w:rPr>
                <w:rFonts w:ascii="仿宋_GB2312" w:eastAsia="仿宋_GB2312" w:hAnsi="仿宋_GB2312" w:cs="仿宋_GB2312" w:hint="eastAsia"/>
                <w:szCs w:val="21"/>
              </w:rPr>
              <w:t>受理的金融消费纠纷事项，应当符合以下条件： </w:t>
            </w:r>
          </w:p>
          <w:p w14:paraId="15C56B69"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（一）纠纷当事人一方是北京市支付清算协会会员； </w:t>
            </w:r>
          </w:p>
          <w:p w14:paraId="51B65AAF"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（二）未由其他机构受理、调查或处理的金融消费纠纷； </w:t>
            </w:r>
          </w:p>
          <w:p w14:paraId="5BC1C69C"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（三）未经诉讼或仲裁程序的金融消费纠纷。 </w:t>
            </w:r>
          </w:p>
          <w:p w14:paraId="33ED431D" w14:textId="44BB668B"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纠纷事项符合以上条件的，</w:t>
            </w:r>
            <w:proofErr w:type="gramStart"/>
            <w:r>
              <w:rPr>
                <w:rFonts w:ascii="仿宋_GB2312" w:eastAsia="仿宋_GB2312" w:hAnsi="仿宋_GB2312" w:cs="仿宋_GB2312" w:hint="eastAsia"/>
                <w:szCs w:val="21"/>
              </w:rPr>
              <w:t>金调委</w:t>
            </w:r>
            <w:proofErr w:type="gramEnd"/>
            <w:r>
              <w:rPr>
                <w:rFonts w:ascii="仿宋_GB2312" w:eastAsia="仿宋_GB2312" w:hAnsi="仿宋_GB2312" w:cs="仿宋_GB2312" w:hint="eastAsia"/>
                <w:szCs w:val="21"/>
              </w:rPr>
              <w:t>依照规定的程序进行调解。 </w:t>
            </w:r>
          </w:p>
          <w:p w14:paraId="30346D5A"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lastRenderedPageBreak/>
              <w:t>联系方式：</w:t>
            </w:r>
          </w:p>
          <w:p w14:paraId="6653E9EA"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010-59512793/010-59512794 </w:t>
            </w:r>
          </w:p>
          <w:p w14:paraId="3C419624" w14:textId="77777777" w:rsidR="00EA6A72" w:rsidRDefault="0089405A">
            <w:pPr>
              <w:spacing w:after="0" w:line="360" w:lineRule="exact"/>
              <w:jc w:val="both"/>
              <w:rPr>
                <w:rFonts w:ascii="仿宋_GB2312" w:eastAsia="仿宋_GB2312" w:hAnsi="仿宋_GB2312" w:cs="仿宋_GB2312"/>
                <w:szCs w:val="21"/>
              </w:rPr>
            </w:pPr>
            <w:r>
              <w:rPr>
                <w:rFonts w:ascii="仿宋_GB2312" w:eastAsia="仿宋_GB2312" w:hAnsi="仿宋_GB2312" w:cs="仿宋_GB2312" w:hint="eastAsia"/>
                <w:szCs w:val="21"/>
              </w:rPr>
              <w:t>对外办公时间：周一至周五 </w:t>
            </w:r>
          </w:p>
          <w:p w14:paraId="3B29BEA4" w14:textId="77777777" w:rsidR="00EA6A72" w:rsidRDefault="0089405A" w:rsidP="00ED5314">
            <w:pPr>
              <w:pStyle w:val="3"/>
              <w:spacing w:before="0" w:after="0" w:line="360" w:lineRule="exact"/>
              <w:rPr>
                <w:rFonts w:ascii="仿宋_GB2312" w:eastAsia="仿宋_GB2312" w:hAnsi="仿宋_GB2312" w:cs="仿宋_GB2312"/>
                <w:b w:val="0"/>
                <w:szCs w:val="21"/>
              </w:rPr>
            </w:pPr>
            <w:r>
              <w:rPr>
                <w:rFonts w:ascii="仿宋_GB2312" w:eastAsia="仿宋_GB2312" w:hAnsi="仿宋_GB2312" w:cs="仿宋_GB2312" w:hint="eastAsia"/>
                <w:b w:val="0"/>
                <w:szCs w:val="21"/>
              </w:rPr>
              <w:t>上午9:30-11:30，下午13:30-16:30</w:t>
            </w:r>
          </w:p>
        </w:tc>
      </w:tr>
      <w:tr w:rsidR="00EA6A72" w14:paraId="6BBD710A" w14:textId="77777777">
        <w:trPr>
          <w:trHeight w:val="1921"/>
          <w:jc w:val="center"/>
        </w:trPr>
        <w:tc>
          <w:tcPr>
            <w:tcW w:w="1180" w:type="dxa"/>
            <w:vAlign w:val="center"/>
          </w:tcPr>
          <w:p w14:paraId="0CBBE3E0"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备注</w:t>
            </w:r>
          </w:p>
        </w:tc>
        <w:tc>
          <w:tcPr>
            <w:tcW w:w="7653" w:type="dxa"/>
            <w:gridSpan w:val="3"/>
            <w:vAlign w:val="center"/>
          </w:tcPr>
          <w:p w14:paraId="1F21B8DB"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无</w:t>
            </w:r>
          </w:p>
        </w:tc>
      </w:tr>
      <w:tr w:rsidR="00EA6A72" w14:paraId="4D079B89" w14:textId="77777777">
        <w:trPr>
          <w:trHeight w:val="174"/>
          <w:jc w:val="center"/>
        </w:trPr>
        <w:tc>
          <w:tcPr>
            <w:tcW w:w="1180" w:type="dxa"/>
            <w:vAlign w:val="center"/>
          </w:tcPr>
          <w:p w14:paraId="5DA67169" w14:textId="77777777" w:rsidR="00EA6A72" w:rsidRDefault="0089405A" w:rsidP="00ED5314">
            <w:pPr>
              <w:spacing w:after="0"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承诺声明</w:t>
            </w:r>
          </w:p>
        </w:tc>
        <w:tc>
          <w:tcPr>
            <w:tcW w:w="7653" w:type="dxa"/>
            <w:gridSpan w:val="3"/>
            <w:vAlign w:val="center"/>
          </w:tcPr>
          <w:p w14:paraId="78F550B3" w14:textId="77777777" w:rsidR="007D046F" w:rsidRDefault="0089405A" w:rsidP="00ED5314">
            <w:pPr>
              <w:spacing w:after="0" w:line="360" w:lineRule="exact"/>
              <w:ind w:firstLineChars="200" w:firstLine="452"/>
              <w:jc w:val="both"/>
              <w:rPr>
                <w:rFonts w:ascii="仿宋_GB2312" w:eastAsia="仿宋_GB2312" w:hAnsi="仿宋_GB2312" w:cs="仿宋_GB2312"/>
                <w:szCs w:val="21"/>
              </w:rPr>
            </w:pPr>
            <w:proofErr w:type="gramStart"/>
            <w:r>
              <w:rPr>
                <w:rFonts w:ascii="仿宋_GB2312" w:eastAsia="仿宋_GB2312" w:hAnsi="仿宋_GB2312" w:cs="仿宋_GB2312" w:hint="eastAsia"/>
                <w:szCs w:val="21"/>
              </w:rPr>
              <w:t>我机构</w:t>
            </w:r>
            <w:proofErr w:type="gramEnd"/>
            <w:r>
              <w:rPr>
                <w:rFonts w:ascii="仿宋_GB2312" w:eastAsia="仿宋_GB2312" w:hAnsi="仿宋_GB2312" w:cs="仿宋_GB2312" w:hint="eastAsia"/>
                <w:szCs w:val="21"/>
              </w:rPr>
              <w:t>承诺所提交的材料真实有效,严格遵守相关金融管理要求,已全面开展合</w:t>
            </w:r>
            <w:proofErr w:type="gramStart"/>
            <w:r>
              <w:rPr>
                <w:rFonts w:ascii="仿宋_GB2312" w:eastAsia="仿宋_GB2312" w:hAnsi="仿宋_GB2312" w:cs="仿宋_GB2312" w:hint="eastAsia"/>
                <w:szCs w:val="21"/>
              </w:rPr>
              <w:t>规</w:t>
            </w:r>
            <w:proofErr w:type="gramEnd"/>
            <w:r>
              <w:rPr>
                <w:rFonts w:ascii="仿宋_GB2312" w:eastAsia="仿宋_GB2312" w:hAnsi="仿宋_GB2312" w:cs="仿宋_GB2312" w:hint="eastAsia"/>
                <w:szCs w:val="21"/>
              </w:rPr>
              <w:t>性评估和内控审计，能够有效保障业务连续性和用户信息安全，防范资金失窃风险。</w:t>
            </w:r>
          </w:p>
          <w:p w14:paraId="6C949AC8" w14:textId="4987C74A" w:rsidR="00EA6A72" w:rsidRDefault="0089405A" w:rsidP="00ED5314">
            <w:pPr>
              <w:spacing w:after="0" w:line="360" w:lineRule="exact"/>
              <w:ind w:firstLineChars="200" w:firstLine="452"/>
              <w:jc w:val="both"/>
              <w:rPr>
                <w:rFonts w:ascii="仿宋_GB2312" w:eastAsia="仿宋_GB2312" w:hAnsi="仿宋_GB2312" w:cs="仿宋_GB2312"/>
                <w:szCs w:val="21"/>
              </w:rPr>
            </w:pPr>
            <w:r>
              <w:rPr>
                <w:rFonts w:ascii="仿宋_GB2312" w:eastAsia="仿宋_GB2312" w:hAnsi="仿宋_GB2312" w:cs="仿宋_GB2312" w:hint="eastAsia"/>
                <w:szCs w:val="21"/>
              </w:rPr>
              <w:t>以上承诺如有违反，愿承担相应责任与后果。</w:t>
            </w:r>
          </w:p>
          <w:p w14:paraId="1C02EB76" w14:textId="77777777" w:rsidR="00EA6A72" w:rsidRDefault="00EA6A72" w:rsidP="00ED5314">
            <w:pPr>
              <w:spacing w:after="0" w:line="360" w:lineRule="exact"/>
              <w:jc w:val="both"/>
              <w:rPr>
                <w:rFonts w:ascii="仿宋_GB2312" w:eastAsia="仿宋_GB2312" w:hAnsi="仿宋_GB2312" w:cs="仿宋_GB2312"/>
                <w:szCs w:val="21"/>
              </w:rPr>
            </w:pPr>
          </w:p>
          <w:p w14:paraId="370FCAA3" w14:textId="77777777" w:rsidR="00EA6A72" w:rsidRDefault="00EA6A72" w:rsidP="00ED5314">
            <w:pPr>
              <w:spacing w:after="0" w:line="360" w:lineRule="exact"/>
              <w:ind w:firstLineChars="200" w:firstLine="452"/>
              <w:jc w:val="both"/>
              <w:rPr>
                <w:rFonts w:ascii="仿宋_GB2312" w:eastAsia="仿宋_GB2312" w:hAnsi="仿宋_GB2312" w:cs="仿宋_GB2312"/>
                <w:szCs w:val="21"/>
              </w:rPr>
            </w:pPr>
          </w:p>
          <w:p w14:paraId="73DD8E9A" w14:textId="77777777" w:rsidR="00EA6A72" w:rsidRDefault="0089405A" w:rsidP="00ED5314">
            <w:pPr>
              <w:spacing w:after="0" w:line="360" w:lineRule="exact"/>
              <w:ind w:firstLineChars="200" w:firstLine="452"/>
              <w:jc w:val="both"/>
              <w:rPr>
                <w:rFonts w:ascii="仿宋_GB2312" w:eastAsia="仿宋_GB2312" w:hAnsi="仿宋_GB2312" w:cs="仿宋_GB2312"/>
                <w:szCs w:val="21"/>
              </w:rPr>
            </w:pPr>
            <w:r>
              <w:rPr>
                <w:rFonts w:ascii="仿宋_GB2312" w:eastAsia="仿宋_GB2312" w:hAnsi="仿宋_GB2312" w:cs="仿宋_GB2312" w:hint="eastAsia"/>
                <w:szCs w:val="21"/>
              </w:rPr>
              <w:t>法定代表人或其授权人（签字）          　年  月  日（盖章）</w:t>
            </w:r>
          </w:p>
          <w:p w14:paraId="15B49D6A" w14:textId="77777777" w:rsidR="00EA6A72" w:rsidRDefault="00EA6A72" w:rsidP="00ED5314">
            <w:pPr>
              <w:spacing w:after="0" w:line="360" w:lineRule="exact"/>
              <w:jc w:val="both"/>
              <w:rPr>
                <w:rFonts w:ascii="仿宋_GB2312" w:eastAsia="仿宋_GB2312" w:hAnsi="仿宋_GB2312" w:cs="仿宋_GB2312"/>
                <w:szCs w:val="21"/>
              </w:rPr>
            </w:pPr>
          </w:p>
        </w:tc>
      </w:tr>
    </w:tbl>
    <w:p w14:paraId="37E6C12B" w14:textId="77777777" w:rsidR="00EA6A72" w:rsidRDefault="00EA6A72">
      <w:pPr>
        <w:pStyle w:val="a"/>
        <w:numPr>
          <w:ilvl w:val="0"/>
          <w:numId w:val="0"/>
        </w:numPr>
        <w:spacing w:beforeLines="0" w:afterLines="0" w:line="560" w:lineRule="exact"/>
      </w:pPr>
    </w:p>
    <w:sectPr w:rsidR="00EA6A72">
      <w:headerReference w:type="default" r:id="rId11"/>
      <w:footerReference w:type="default" r:id="rId12"/>
      <w:pgSz w:w="11906" w:h="16838"/>
      <w:pgMar w:top="1440" w:right="1326" w:bottom="1440" w:left="1800" w:header="1191" w:footer="1418" w:gutter="0"/>
      <w:pgNumType w:fmt="numberInDash"/>
      <w:cols w:space="720"/>
      <w:docGrid w:type="linesAndChars" w:linePitch="515" w:charSpace="32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300C8" w14:textId="77777777" w:rsidR="009F22A5" w:rsidRDefault="009F22A5">
      <w:pPr>
        <w:spacing w:after="0" w:line="240" w:lineRule="auto"/>
      </w:pPr>
      <w:r>
        <w:separator/>
      </w:r>
    </w:p>
  </w:endnote>
  <w:endnote w:type="continuationSeparator" w:id="0">
    <w:p w14:paraId="44A224BB" w14:textId="77777777" w:rsidR="009F22A5" w:rsidRDefault="009F2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2A103" w14:textId="77777777" w:rsidR="00EA6A72" w:rsidRDefault="0089405A">
    <w:pPr>
      <w:pStyle w:val="a8"/>
    </w:pPr>
    <w:r>
      <w:rPr>
        <w:noProof/>
      </w:rPr>
      <mc:AlternateContent>
        <mc:Choice Requires="wps">
          <w:drawing>
            <wp:anchor distT="0" distB="0" distL="114300" distR="114300" simplePos="0" relativeHeight="251657216" behindDoc="0" locked="0" layoutInCell="1" allowOverlap="1" wp14:anchorId="1E507682" wp14:editId="0FDF09EF">
              <wp:simplePos x="0" y="0"/>
              <wp:positionH relativeFrom="margin">
                <wp:align>center</wp:align>
              </wp:positionH>
              <wp:positionV relativeFrom="paragraph">
                <wp:posOffset>0</wp:posOffset>
              </wp:positionV>
              <wp:extent cx="179705" cy="252095"/>
              <wp:effectExtent l="0" t="0" r="0" b="0"/>
              <wp:wrapNone/>
              <wp:docPr id="1" name="矩形 1"/>
              <wp:cNvGraphicFramePr/>
              <a:graphic xmlns:a="http://schemas.openxmlformats.org/drawingml/2006/main">
                <a:graphicData uri="http://schemas.microsoft.com/office/word/2010/wordprocessingShape">
                  <wps:wsp>
                    <wps:cNvSpPr/>
                    <wps:spPr>
                      <a:xfrm>
                        <a:off x="0" y="0"/>
                        <a:ext cx="179705" cy="252095"/>
                      </a:xfrm>
                      <a:prstGeom prst="rect">
                        <a:avLst/>
                      </a:prstGeom>
                      <a:noFill/>
                      <a:ln>
                        <a:noFill/>
                      </a:ln>
                      <a:effectLst/>
                    </wps:spPr>
                    <wps:txbx>
                      <w:txbxContent>
                        <w:p w14:paraId="7A8CCBD8" w14:textId="77777777" w:rsidR="00EA6A72" w:rsidRDefault="0089405A">
                          <w:pPr>
                            <w:pStyle w:val="a8"/>
                          </w:pPr>
                          <w:r>
                            <w:rPr>
                              <w:rFonts w:hint="eastAsia"/>
                            </w:rPr>
                            <w:fldChar w:fldCharType="begin"/>
                          </w:r>
                          <w:r>
                            <w:rPr>
                              <w:rFonts w:hint="eastAsia"/>
                            </w:rPr>
                            <w:instrText xml:space="preserve"> PAGE  \* MERGEFORMAT </w:instrText>
                          </w:r>
                          <w:r>
                            <w:rPr>
                              <w:rFonts w:hint="eastAsia"/>
                            </w:rPr>
                            <w:fldChar w:fldCharType="separate"/>
                          </w:r>
                          <w:r w:rsidR="00E926F3">
                            <w:rPr>
                              <w:noProof/>
                            </w:rPr>
                            <w:t>- 5 -</w:t>
                          </w:r>
                          <w:r>
                            <w:rPr>
                              <w:rFonts w:hint="eastAsia"/>
                            </w:rPr>
                            <w:fldChar w:fldCharType="end"/>
                          </w:r>
                        </w:p>
                      </w:txbxContent>
                    </wps:txbx>
                    <wps:bodyPr wrap="none" lIns="0" tIns="0" rIns="0" bIns="0" upright="1">
                      <a:spAutoFit/>
                    </wps:bodyPr>
                  </wps:wsp>
                </a:graphicData>
              </a:graphic>
            </wp:anchor>
          </w:drawing>
        </mc:Choice>
        <mc:Fallback>
          <w:pict>
            <v:rect id="矩形 1" o:spid="_x0000_s1026" style="position:absolute;margin-left:0;margin-top:0;width:14.15pt;height:19.85pt;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" filled="f" stroked="f">
              <v:textbox style="mso-fit-shape-to-text:t" inset="0,0,0,0">
                <w:txbxContent>
                  <w:p w14:paraId="7A8CCBD8" w14:textId="77777777" w:rsidR="00EA6A72" w:rsidRDefault="0089405A">
                    <w:pPr>
                      <w:pStyle w:val="a8"/>
                    </w:pPr>
                    <w:r>
                      <w:rPr>
                        <w:rFonts w:hint="eastAsia"/>
                      </w:rPr>
                      <w:fldChar w:fldCharType="begin"/>
                    </w:r>
                    <w:r>
                      <w:rPr>
                        <w:rFonts w:hint="eastAsia"/>
                      </w:rPr>
                      <w:instrText xml:space="preserve"> PAGE  \* MERGEFORMAT </w:instrText>
                    </w:r>
                    <w:r>
                      <w:rPr>
                        <w:rFonts w:hint="eastAsia"/>
                      </w:rPr>
                      <w:fldChar w:fldCharType="separate"/>
                    </w:r>
                    <w:r w:rsidR="00E926F3">
                      <w:rPr>
                        <w:noProof/>
                      </w:rPr>
                      <w:t>- 5 -</w:t>
                    </w:r>
                    <w:r>
                      <w:rPr>
                        <w:rFonts w:hint="eastAsia"/>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72D40" w14:textId="77777777" w:rsidR="009F22A5" w:rsidRDefault="009F22A5">
      <w:pPr>
        <w:spacing w:after="0" w:line="240" w:lineRule="auto"/>
      </w:pPr>
      <w:r>
        <w:separator/>
      </w:r>
    </w:p>
  </w:footnote>
  <w:footnote w:type="continuationSeparator" w:id="0">
    <w:p w14:paraId="607DE963" w14:textId="77777777" w:rsidR="009F22A5" w:rsidRDefault="009F22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2B5EA" w14:textId="77777777" w:rsidR="00EA6A72" w:rsidRDefault="009F22A5">
    <w:pPr>
      <w:pStyle w:val="a9"/>
      <w:pBdr>
        <w:bottom w:val="none" w:sz="0" w:space="1" w:color="auto"/>
      </w:pBdr>
      <w:jc w:val="left"/>
      <w:rPr>
        <w:rFonts w:ascii="仿宋_GB2312" w:eastAsia="仿宋_GB2312" w:hAnsi="仿宋_GB2312" w:cs="仿宋_GB2312"/>
        <w:b/>
        <w:bCs/>
        <w:sz w:val="28"/>
        <w:szCs w:val="28"/>
      </w:rPr>
    </w:pPr>
    <w:r>
      <w:rPr>
        <w:sz w:val="28"/>
      </w:rPr>
      <w:pict w14:anchorId="312973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501" o:spid="_x0000_s2049" type="#_x0000_t136" style="position:absolute;margin-left:0;margin-top:0;width:548.4pt;height:72.35pt;rotation:315;z-index:-251658240;mso-position-horizontal:center;mso-position-horizontal-relative:margin;mso-position-vertical:center;mso-position-vertical-relative:margin;mso-width-relative:page;mso-height-relative:page" fillcolor="silver" stroked="f">
          <v:fill opacity=".5"/>
          <v:textpath style="font-family:&quot;微软雅黑&quot;" trim="t" fitpath="t" string="请严格控制知悉范围。"/>
          <o:lock v:ext="edit" aspectratio="t" text="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spacing w:val="0"/>
        <w:kern w:val="0"/>
        <w:position w:val="0"/>
        <w:sz w:val="21"/>
        <w:szCs w:val="21"/>
        <w:u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531DE3AD"/>
    <w:multiLevelType w:val="multilevel"/>
    <w:tmpl w:val="531DE3AD"/>
    <w:lvl w:ilvl="0">
      <w:start w:val="1"/>
      <w:numFmt w:val="decimal"/>
      <w:pStyle w:val="a1"/>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硕">
    <w15:presenceInfo w15:providerId="Windows Live" w15:userId="4434219fcdcf730e"/>
  </w15:person>
  <w15:person w15:author="DanXiaolei">
    <w15:presenceInfo w15:providerId="None" w15:userId="DanXiao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A186F"/>
    <w:rsid w:val="0001253A"/>
    <w:rsid w:val="00014BDE"/>
    <w:rsid w:val="000153D9"/>
    <w:rsid w:val="000367B0"/>
    <w:rsid w:val="000447D3"/>
    <w:rsid w:val="0009454B"/>
    <w:rsid w:val="000A0B37"/>
    <w:rsid w:val="000B1126"/>
    <w:rsid w:val="000B4B9E"/>
    <w:rsid w:val="000C2183"/>
    <w:rsid w:val="000D4F51"/>
    <w:rsid w:val="001039DA"/>
    <w:rsid w:val="00110481"/>
    <w:rsid w:val="00111D67"/>
    <w:rsid w:val="00123540"/>
    <w:rsid w:val="00145A72"/>
    <w:rsid w:val="00145E9C"/>
    <w:rsid w:val="00147D02"/>
    <w:rsid w:val="0016254A"/>
    <w:rsid w:val="00163E87"/>
    <w:rsid w:val="00165225"/>
    <w:rsid w:val="00191D5E"/>
    <w:rsid w:val="001A273B"/>
    <w:rsid w:val="001A2DD1"/>
    <w:rsid w:val="001C1661"/>
    <w:rsid w:val="001C65F3"/>
    <w:rsid w:val="001C7250"/>
    <w:rsid w:val="001D3054"/>
    <w:rsid w:val="001E5E8B"/>
    <w:rsid w:val="001E787D"/>
    <w:rsid w:val="001F5F80"/>
    <w:rsid w:val="00201D39"/>
    <w:rsid w:val="00264C2D"/>
    <w:rsid w:val="002771BC"/>
    <w:rsid w:val="00291A6E"/>
    <w:rsid w:val="002A47A7"/>
    <w:rsid w:val="002C0F40"/>
    <w:rsid w:val="002D71B3"/>
    <w:rsid w:val="002E63B8"/>
    <w:rsid w:val="002E7D8C"/>
    <w:rsid w:val="003004D7"/>
    <w:rsid w:val="003051D8"/>
    <w:rsid w:val="00310FEC"/>
    <w:rsid w:val="00312178"/>
    <w:rsid w:val="0032131B"/>
    <w:rsid w:val="00322BEC"/>
    <w:rsid w:val="00383798"/>
    <w:rsid w:val="003A3CA7"/>
    <w:rsid w:val="003A6AED"/>
    <w:rsid w:val="003B7931"/>
    <w:rsid w:val="003C1B9F"/>
    <w:rsid w:val="003C4547"/>
    <w:rsid w:val="004111C7"/>
    <w:rsid w:val="0043554D"/>
    <w:rsid w:val="0044497F"/>
    <w:rsid w:val="00462159"/>
    <w:rsid w:val="0047456E"/>
    <w:rsid w:val="004839F7"/>
    <w:rsid w:val="00485135"/>
    <w:rsid w:val="004A5901"/>
    <w:rsid w:val="004D3733"/>
    <w:rsid w:val="004E4B82"/>
    <w:rsid w:val="005021AC"/>
    <w:rsid w:val="0053033E"/>
    <w:rsid w:val="00537F54"/>
    <w:rsid w:val="00543904"/>
    <w:rsid w:val="00551BF9"/>
    <w:rsid w:val="00584CCD"/>
    <w:rsid w:val="005864CA"/>
    <w:rsid w:val="005C335A"/>
    <w:rsid w:val="005C54F8"/>
    <w:rsid w:val="005D76C0"/>
    <w:rsid w:val="005E0A02"/>
    <w:rsid w:val="005F7309"/>
    <w:rsid w:val="006347BD"/>
    <w:rsid w:val="006628F6"/>
    <w:rsid w:val="00697D0D"/>
    <w:rsid w:val="006A6AE0"/>
    <w:rsid w:val="006B0573"/>
    <w:rsid w:val="006B3B39"/>
    <w:rsid w:val="00700EAF"/>
    <w:rsid w:val="007104EE"/>
    <w:rsid w:val="007330AB"/>
    <w:rsid w:val="00751EC1"/>
    <w:rsid w:val="00757498"/>
    <w:rsid w:val="00760EBA"/>
    <w:rsid w:val="007625E9"/>
    <w:rsid w:val="00771F6D"/>
    <w:rsid w:val="00774D44"/>
    <w:rsid w:val="00793B08"/>
    <w:rsid w:val="007B14E7"/>
    <w:rsid w:val="007B2C50"/>
    <w:rsid w:val="007D046F"/>
    <w:rsid w:val="007D11C4"/>
    <w:rsid w:val="007D2F63"/>
    <w:rsid w:val="007D4133"/>
    <w:rsid w:val="007D6A1B"/>
    <w:rsid w:val="007F7187"/>
    <w:rsid w:val="0082070F"/>
    <w:rsid w:val="0082388C"/>
    <w:rsid w:val="00831053"/>
    <w:rsid w:val="00892E58"/>
    <w:rsid w:val="0089405A"/>
    <w:rsid w:val="0090653A"/>
    <w:rsid w:val="00961DE5"/>
    <w:rsid w:val="00981388"/>
    <w:rsid w:val="009863BF"/>
    <w:rsid w:val="00992469"/>
    <w:rsid w:val="00995E93"/>
    <w:rsid w:val="009E0784"/>
    <w:rsid w:val="009E5C72"/>
    <w:rsid w:val="009F22A5"/>
    <w:rsid w:val="009F49E6"/>
    <w:rsid w:val="009F770E"/>
    <w:rsid w:val="00A07890"/>
    <w:rsid w:val="00A13D8A"/>
    <w:rsid w:val="00A43848"/>
    <w:rsid w:val="00A87B50"/>
    <w:rsid w:val="00A96597"/>
    <w:rsid w:val="00AA469C"/>
    <w:rsid w:val="00AB743E"/>
    <w:rsid w:val="00AB769E"/>
    <w:rsid w:val="00AC12E1"/>
    <w:rsid w:val="00AC3C7F"/>
    <w:rsid w:val="00AC5DCE"/>
    <w:rsid w:val="00AD0B33"/>
    <w:rsid w:val="00AE274D"/>
    <w:rsid w:val="00AF74AF"/>
    <w:rsid w:val="00B010D8"/>
    <w:rsid w:val="00B142D0"/>
    <w:rsid w:val="00B16D7E"/>
    <w:rsid w:val="00B201F6"/>
    <w:rsid w:val="00B52851"/>
    <w:rsid w:val="00B65EA8"/>
    <w:rsid w:val="00BA70B3"/>
    <w:rsid w:val="00BB2C1D"/>
    <w:rsid w:val="00BB5C10"/>
    <w:rsid w:val="00BC28A8"/>
    <w:rsid w:val="00BD4723"/>
    <w:rsid w:val="00C311C8"/>
    <w:rsid w:val="00C40950"/>
    <w:rsid w:val="00C562D4"/>
    <w:rsid w:val="00C5657E"/>
    <w:rsid w:val="00C661E7"/>
    <w:rsid w:val="00C66867"/>
    <w:rsid w:val="00C856B9"/>
    <w:rsid w:val="00CF53DE"/>
    <w:rsid w:val="00CF5D0E"/>
    <w:rsid w:val="00D07AB4"/>
    <w:rsid w:val="00D138B3"/>
    <w:rsid w:val="00D32DF3"/>
    <w:rsid w:val="00D35CF1"/>
    <w:rsid w:val="00D44A3D"/>
    <w:rsid w:val="00D46E9C"/>
    <w:rsid w:val="00D5258E"/>
    <w:rsid w:val="00D61895"/>
    <w:rsid w:val="00D8591E"/>
    <w:rsid w:val="00D85D32"/>
    <w:rsid w:val="00D95BB8"/>
    <w:rsid w:val="00DA274B"/>
    <w:rsid w:val="00DB74E9"/>
    <w:rsid w:val="00DC4CA8"/>
    <w:rsid w:val="00DD3EDD"/>
    <w:rsid w:val="00DD665E"/>
    <w:rsid w:val="00DE4473"/>
    <w:rsid w:val="00DE5E80"/>
    <w:rsid w:val="00E15C1B"/>
    <w:rsid w:val="00E52410"/>
    <w:rsid w:val="00E55569"/>
    <w:rsid w:val="00E81123"/>
    <w:rsid w:val="00E8308A"/>
    <w:rsid w:val="00E83F42"/>
    <w:rsid w:val="00E926F3"/>
    <w:rsid w:val="00EA469E"/>
    <w:rsid w:val="00EA6A72"/>
    <w:rsid w:val="00EC17F7"/>
    <w:rsid w:val="00EC53E7"/>
    <w:rsid w:val="00ED1160"/>
    <w:rsid w:val="00ED474A"/>
    <w:rsid w:val="00ED5314"/>
    <w:rsid w:val="00EE175F"/>
    <w:rsid w:val="00EF43F1"/>
    <w:rsid w:val="00EF5D91"/>
    <w:rsid w:val="00EF6907"/>
    <w:rsid w:val="00F13282"/>
    <w:rsid w:val="00F23E6C"/>
    <w:rsid w:val="00F3213A"/>
    <w:rsid w:val="00F55D04"/>
    <w:rsid w:val="00F629C1"/>
    <w:rsid w:val="00F7111B"/>
    <w:rsid w:val="00F80DC5"/>
    <w:rsid w:val="032B217D"/>
    <w:rsid w:val="04C52869"/>
    <w:rsid w:val="079D444C"/>
    <w:rsid w:val="0A7A6E4C"/>
    <w:rsid w:val="0B0B6FDA"/>
    <w:rsid w:val="111C55BE"/>
    <w:rsid w:val="12024469"/>
    <w:rsid w:val="12637040"/>
    <w:rsid w:val="1DBD5877"/>
    <w:rsid w:val="1ECE761A"/>
    <w:rsid w:val="26863DD3"/>
    <w:rsid w:val="2F775386"/>
    <w:rsid w:val="43052D3D"/>
    <w:rsid w:val="476A0511"/>
    <w:rsid w:val="49BE6D63"/>
    <w:rsid w:val="4CAC59ED"/>
    <w:rsid w:val="503A186F"/>
    <w:rsid w:val="50B07789"/>
    <w:rsid w:val="56AA3BCA"/>
    <w:rsid w:val="58CF47D5"/>
    <w:rsid w:val="59CC6357"/>
    <w:rsid w:val="5F456A79"/>
    <w:rsid w:val="677E67CE"/>
    <w:rsid w:val="67A216FB"/>
    <w:rsid w:val="7C2A4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BF3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next w:val="3"/>
    <w:qFormat/>
    <w:pPr>
      <w:spacing w:after="160" w:line="259" w:lineRule="auto"/>
    </w:pPr>
    <w:rPr>
      <w:rFonts w:cs="黑体"/>
      <w:kern w:val="2"/>
      <w:sz w:val="21"/>
      <w:szCs w:val="22"/>
    </w:rPr>
  </w:style>
  <w:style w:type="paragraph" w:styleId="1">
    <w:name w:val="heading 1"/>
    <w:basedOn w:val="a2"/>
    <w:next w:val="a2"/>
    <w:qFormat/>
    <w:pPr>
      <w:keepNext/>
      <w:keepLines/>
      <w:spacing w:line="240" w:lineRule="auto"/>
      <w:ind w:firstLineChars="200" w:firstLine="640"/>
      <w:outlineLvl w:val="0"/>
    </w:pPr>
    <w:rPr>
      <w:rFonts w:eastAsia="黑体" w:cs="Times New Roman"/>
      <w:b/>
      <w:kern w:val="44"/>
      <w:sz w:val="32"/>
    </w:rPr>
  </w:style>
  <w:style w:type="paragraph" w:styleId="2">
    <w:name w:val="heading 2"/>
    <w:basedOn w:val="a2"/>
    <w:next w:val="a2"/>
    <w:semiHidden/>
    <w:unhideWhenUsed/>
    <w:qFormat/>
    <w:pPr>
      <w:keepNext/>
      <w:keepLines/>
      <w:spacing w:line="240" w:lineRule="auto"/>
      <w:ind w:firstLineChars="200" w:firstLine="640"/>
      <w:outlineLvl w:val="1"/>
    </w:pPr>
    <w:rPr>
      <w:rFonts w:ascii="Arial" w:eastAsia="楷体_GB2312" w:hAnsi="Arial" w:cs="Times New Roman"/>
      <w:b/>
      <w:sz w:val="32"/>
    </w:rPr>
  </w:style>
  <w:style w:type="paragraph" w:styleId="3">
    <w:name w:val="heading 3"/>
    <w:basedOn w:val="a2"/>
    <w:next w:val="a2"/>
    <w:uiPriority w:val="9"/>
    <w:unhideWhenUsed/>
    <w:qFormat/>
    <w:pPr>
      <w:keepNext/>
      <w:keepLines/>
      <w:spacing w:before="260" w:after="260" w:line="413" w:lineRule="auto"/>
      <w:outlineLvl w:val="2"/>
    </w:pPr>
    <w:rPr>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1"/>
    <w:qFormat/>
    <w:pPr>
      <w:widowControl w:val="0"/>
      <w:spacing w:after="0" w:line="560" w:lineRule="exact"/>
      <w:ind w:firstLineChars="200" w:firstLine="200"/>
    </w:pPr>
    <w:rPr>
      <w:rFonts w:ascii="仿宋" w:eastAsia="仿宋_GB2312" w:hAnsi="仿宋" w:cs="Times New Roman"/>
      <w:sz w:val="32"/>
    </w:rPr>
  </w:style>
  <w:style w:type="paragraph" w:styleId="a7">
    <w:name w:val="Balloon Text"/>
    <w:basedOn w:val="a2"/>
    <w:link w:val="Char"/>
    <w:qFormat/>
    <w:pPr>
      <w:spacing w:after="0" w:line="240" w:lineRule="auto"/>
    </w:pPr>
    <w:rPr>
      <w:sz w:val="18"/>
      <w:szCs w:val="18"/>
    </w:rPr>
  </w:style>
  <w:style w:type="paragraph" w:styleId="a8">
    <w:name w:val="footer"/>
    <w:basedOn w:val="a2"/>
    <w:qFormat/>
    <w:pPr>
      <w:tabs>
        <w:tab w:val="center" w:pos="4153"/>
        <w:tab w:val="right" w:pos="8306"/>
      </w:tabs>
      <w:snapToGrid w:val="0"/>
    </w:pPr>
    <w:rPr>
      <w:sz w:val="18"/>
    </w:rPr>
  </w:style>
  <w:style w:type="paragraph" w:styleId="a9">
    <w:name w:val="header"/>
    <w:basedOn w:val="a2"/>
    <w:qFormat/>
    <w:pPr>
      <w:pBdr>
        <w:bottom w:val="single" w:sz="6" w:space="1" w:color="auto"/>
      </w:pBdr>
      <w:tabs>
        <w:tab w:val="center" w:pos="4153"/>
        <w:tab w:val="right" w:pos="8306"/>
      </w:tabs>
      <w:snapToGrid w:val="0"/>
      <w:jc w:val="center"/>
    </w:pPr>
    <w:rPr>
      <w:sz w:val="18"/>
    </w:rPr>
  </w:style>
  <w:style w:type="paragraph" w:styleId="aa">
    <w:name w:val="annotation subject"/>
    <w:basedOn w:val="a6"/>
    <w:next w:val="a6"/>
    <w:link w:val="Char0"/>
    <w:qFormat/>
    <w:pPr>
      <w:widowControl/>
      <w:spacing w:after="160" w:line="259" w:lineRule="auto"/>
      <w:ind w:firstLineChars="0" w:firstLine="0"/>
    </w:pPr>
    <w:rPr>
      <w:rFonts w:ascii="Calibri" w:eastAsia="宋体" w:hAnsi="Calibri" w:cs="黑体"/>
      <w:b/>
      <w:bCs/>
      <w:sz w:val="21"/>
    </w:rPr>
  </w:style>
  <w:style w:type="character" w:styleId="ab">
    <w:name w:val="Hyperlink"/>
    <w:qFormat/>
    <w:rPr>
      <w:color w:val="0000FF"/>
      <w:u w:val="single"/>
    </w:rPr>
  </w:style>
  <w:style w:type="character" w:styleId="ac">
    <w:name w:val="annotation reference"/>
    <w:qFormat/>
    <w:rPr>
      <w:sz w:val="21"/>
      <w:szCs w:val="21"/>
    </w:rPr>
  </w:style>
  <w:style w:type="paragraph" w:customStyle="1" w:styleId="a">
    <w:name w:val="章标题"/>
    <w:next w:val="a2"/>
    <w:qFormat/>
    <w:pPr>
      <w:numPr>
        <w:numId w:val="1"/>
      </w:numPr>
      <w:spacing w:beforeLines="100" w:afterLines="100" w:line="259" w:lineRule="auto"/>
      <w:jc w:val="both"/>
      <w:outlineLvl w:val="1"/>
    </w:pPr>
    <w:rPr>
      <w:rFonts w:ascii="黑体" w:eastAsia="黑体" w:cs="Times New Roman"/>
      <w:sz w:val="21"/>
    </w:rPr>
  </w:style>
  <w:style w:type="paragraph" w:customStyle="1" w:styleId="ad">
    <w:name w:val="段"/>
    <w:qFormat/>
    <w:pPr>
      <w:tabs>
        <w:tab w:val="center" w:pos="4201"/>
        <w:tab w:val="right" w:leader="dot" w:pos="9298"/>
      </w:tabs>
      <w:autoSpaceDE w:val="0"/>
      <w:autoSpaceDN w:val="0"/>
      <w:spacing w:after="160" w:line="259" w:lineRule="auto"/>
      <w:ind w:firstLineChars="200" w:firstLine="420"/>
      <w:jc w:val="both"/>
    </w:pPr>
    <w:rPr>
      <w:rFonts w:ascii="宋体" w:eastAsia="仿宋_GB2312" w:cs="Times New Roman"/>
      <w:sz w:val="21"/>
    </w:rPr>
  </w:style>
  <w:style w:type="paragraph" w:customStyle="1" w:styleId="a0">
    <w:name w:val="一级条标题"/>
    <w:next w:val="ad"/>
    <w:qFormat/>
    <w:pPr>
      <w:numPr>
        <w:ilvl w:val="1"/>
        <w:numId w:val="1"/>
      </w:numPr>
      <w:spacing w:beforeLines="50" w:afterLines="50" w:line="259" w:lineRule="auto"/>
      <w:outlineLvl w:val="2"/>
    </w:pPr>
    <w:rPr>
      <w:rFonts w:ascii="黑体" w:eastAsia="黑体" w:cs="Times New Roman"/>
      <w:sz w:val="21"/>
      <w:szCs w:val="21"/>
    </w:rPr>
  </w:style>
  <w:style w:type="paragraph" w:customStyle="1" w:styleId="ae">
    <w:name w:val="二级条标题"/>
    <w:basedOn w:val="a0"/>
    <w:next w:val="ad"/>
    <w:qFormat/>
    <w:pPr>
      <w:spacing w:before="50" w:after="50"/>
      <w:outlineLvl w:val="3"/>
    </w:pPr>
  </w:style>
  <w:style w:type="paragraph" w:customStyle="1" w:styleId="af">
    <w:name w:val="三级条标题"/>
    <w:basedOn w:val="ae"/>
    <w:next w:val="ad"/>
    <w:qFormat/>
    <w:pPr>
      <w:outlineLvl w:val="4"/>
    </w:pPr>
  </w:style>
  <w:style w:type="paragraph" w:customStyle="1" w:styleId="af0">
    <w:name w:val="注：（正文）"/>
    <w:basedOn w:val="a1"/>
    <w:next w:val="ad"/>
    <w:qFormat/>
  </w:style>
  <w:style w:type="paragraph" w:customStyle="1" w:styleId="a1">
    <w:name w:val="注："/>
    <w:next w:val="ad"/>
    <w:qFormat/>
    <w:pPr>
      <w:widowControl w:val="0"/>
      <w:numPr>
        <w:numId w:val="2"/>
      </w:numPr>
      <w:tabs>
        <w:tab w:val="left" w:pos="360"/>
      </w:tabs>
      <w:autoSpaceDE w:val="0"/>
      <w:autoSpaceDN w:val="0"/>
      <w:spacing w:after="160" w:line="259" w:lineRule="auto"/>
      <w:ind w:left="0" w:firstLine="0"/>
      <w:jc w:val="both"/>
    </w:pPr>
    <w:rPr>
      <w:rFonts w:ascii="宋体" w:eastAsia="仿宋_GB2312" w:cs="Times New Roman"/>
      <w:sz w:val="18"/>
      <w:szCs w:val="18"/>
    </w:rPr>
  </w:style>
  <w:style w:type="character" w:customStyle="1" w:styleId="Char2">
    <w:name w:val="批注文字 Char"/>
    <w:basedOn w:val="a3"/>
    <w:qFormat/>
    <w:rPr>
      <w:rFonts w:cs="黑体"/>
      <w:kern w:val="2"/>
      <w:sz w:val="21"/>
      <w:szCs w:val="22"/>
    </w:rPr>
  </w:style>
  <w:style w:type="character" w:customStyle="1" w:styleId="Char1">
    <w:name w:val="批注文字 Char1"/>
    <w:link w:val="a6"/>
    <w:qFormat/>
    <w:rPr>
      <w:rFonts w:ascii="仿宋" w:eastAsia="仿宋_GB2312" w:hAnsi="仿宋" w:cs="Times New Roman"/>
      <w:kern w:val="2"/>
      <w:sz w:val="32"/>
      <w:szCs w:val="22"/>
    </w:rPr>
  </w:style>
  <w:style w:type="character" w:customStyle="1" w:styleId="Char">
    <w:name w:val="批注框文本 Char"/>
    <w:basedOn w:val="a3"/>
    <w:link w:val="a7"/>
    <w:qFormat/>
    <w:rPr>
      <w:rFonts w:cs="黑体"/>
      <w:kern w:val="2"/>
      <w:sz w:val="18"/>
      <w:szCs w:val="18"/>
    </w:rPr>
  </w:style>
  <w:style w:type="character" w:customStyle="1" w:styleId="Char0">
    <w:name w:val="批注主题 Char"/>
    <w:basedOn w:val="Char1"/>
    <w:link w:val="aa"/>
    <w:rPr>
      <w:rFonts w:ascii="仿宋" w:eastAsia="仿宋_GB2312" w:hAnsi="仿宋" w:cs="黑体"/>
      <w:b/>
      <w:bCs/>
      <w:kern w:val="2"/>
      <w:sz w:val="21"/>
      <w:szCs w:val="22"/>
    </w:rPr>
  </w:style>
  <w:style w:type="paragraph" w:styleId="af1">
    <w:name w:val="Revision"/>
    <w:hidden/>
    <w:uiPriority w:val="99"/>
    <w:semiHidden/>
    <w:rsid w:val="00ED5314"/>
    <w:rPr>
      <w:rFonts w:cs="黑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next w:val="3"/>
    <w:qFormat/>
    <w:pPr>
      <w:spacing w:after="160" w:line="259" w:lineRule="auto"/>
    </w:pPr>
    <w:rPr>
      <w:rFonts w:cs="黑体"/>
      <w:kern w:val="2"/>
      <w:sz w:val="21"/>
      <w:szCs w:val="22"/>
    </w:rPr>
  </w:style>
  <w:style w:type="paragraph" w:styleId="1">
    <w:name w:val="heading 1"/>
    <w:basedOn w:val="a2"/>
    <w:next w:val="a2"/>
    <w:qFormat/>
    <w:pPr>
      <w:keepNext/>
      <w:keepLines/>
      <w:spacing w:line="240" w:lineRule="auto"/>
      <w:ind w:firstLineChars="200" w:firstLine="640"/>
      <w:outlineLvl w:val="0"/>
    </w:pPr>
    <w:rPr>
      <w:rFonts w:eastAsia="黑体" w:cs="Times New Roman"/>
      <w:b/>
      <w:kern w:val="44"/>
      <w:sz w:val="32"/>
    </w:rPr>
  </w:style>
  <w:style w:type="paragraph" w:styleId="2">
    <w:name w:val="heading 2"/>
    <w:basedOn w:val="a2"/>
    <w:next w:val="a2"/>
    <w:semiHidden/>
    <w:unhideWhenUsed/>
    <w:qFormat/>
    <w:pPr>
      <w:keepNext/>
      <w:keepLines/>
      <w:spacing w:line="240" w:lineRule="auto"/>
      <w:ind w:firstLineChars="200" w:firstLine="640"/>
      <w:outlineLvl w:val="1"/>
    </w:pPr>
    <w:rPr>
      <w:rFonts w:ascii="Arial" w:eastAsia="楷体_GB2312" w:hAnsi="Arial" w:cs="Times New Roman"/>
      <w:b/>
      <w:sz w:val="32"/>
    </w:rPr>
  </w:style>
  <w:style w:type="paragraph" w:styleId="3">
    <w:name w:val="heading 3"/>
    <w:basedOn w:val="a2"/>
    <w:next w:val="a2"/>
    <w:uiPriority w:val="9"/>
    <w:unhideWhenUsed/>
    <w:qFormat/>
    <w:pPr>
      <w:keepNext/>
      <w:keepLines/>
      <w:spacing w:before="260" w:after="260" w:line="413" w:lineRule="auto"/>
      <w:outlineLvl w:val="2"/>
    </w:pPr>
    <w:rPr>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1"/>
    <w:qFormat/>
    <w:pPr>
      <w:widowControl w:val="0"/>
      <w:spacing w:after="0" w:line="560" w:lineRule="exact"/>
      <w:ind w:firstLineChars="200" w:firstLine="200"/>
    </w:pPr>
    <w:rPr>
      <w:rFonts w:ascii="仿宋" w:eastAsia="仿宋_GB2312" w:hAnsi="仿宋" w:cs="Times New Roman"/>
      <w:sz w:val="32"/>
    </w:rPr>
  </w:style>
  <w:style w:type="paragraph" w:styleId="a7">
    <w:name w:val="Balloon Text"/>
    <w:basedOn w:val="a2"/>
    <w:link w:val="Char"/>
    <w:qFormat/>
    <w:pPr>
      <w:spacing w:after="0" w:line="240" w:lineRule="auto"/>
    </w:pPr>
    <w:rPr>
      <w:sz w:val="18"/>
      <w:szCs w:val="18"/>
    </w:rPr>
  </w:style>
  <w:style w:type="paragraph" w:styleId="a8">
    <w:name w:val="footer"/>
    <w:basedOn w:val="a2"/>
    <w:qFormat/>
    <w:pPr>
      <w:tabs>
        <w:tab w:val="center" w:pos="4153"/>
        <w:tab w:val="right" w:pos="8306"/>
      </w:tabs>
      <w:snapToGrid w:val="0"/>
    </w:pPr>
    <w:rPr>
      <w:sz w:val="18"/>
    </w:rPr>
  </w:style>
  <w:style w:type="paragraph" w:styleId="a9">
    <w:name w:val="header"/>
    <w:basedOn w:val="a2"/>
    <w:qFormat/>
    <w:pPr>
      <w:pBdr>
        <w:bottom w:val="single" w:sz="6" w:space="1" w:color="auto"/>
      </w:pBdr>
      <w:tabs>
        <w:tab w:val="center" w:pos="4153"/>
        <w:tab w:val="right" w:pos="8306"/>
      </w:tabs>
      <w:snapToGrid w:val="0"/>
      <w:jc w:val="center"/>
    </w:pPr>
    <w:rPr>
      <w:sz w:val="18"/>
    </w:rPr>
  </w:style>
  <w:style w:type="paragraph" w:styleId="aa">
    <w:name w:val="annotation subject"/>
    <w:basedOn w:val="a6"/>
    <w:next w:val="a6"/>
    <w:link w:val="Char0"/>
    <w:qFormat/>
    <w:pPr>
      <w:widowControl/>
      <w:spacing w:after="160" w:line="259" w:lineRule="auto"/>
      <w:ind w:firstLineChars="0" w:firstLine="0"/>
    </w:pPr>
    <w:rPr>
      <w:rFonts w:ascii="Calibri" w:eastAsia="宋体" w:hAnsi="Calibri" w:cs="黑体"/>
      <w:b/>
      <w:bCs/>
      <w:sz w:val="21"/>
    </w:rPr>
  </w:style>
  <w:style w:type="character" w:styleId="ab">
    <w:name w:val="Hyperlink"/>
    <w:qFormat/>
    <w:rPr>
      <w:color w:val="0000FF"/>
      <w:u w:val="single"/>
    </w:rPr>
  </w:style>
  <w:style w:type="character" w:styleId="ac">
    <w:name w:val="annotation reference"/>
    <w:qFormat/>
    <w:rPr>
      <w:sz w:val="21"/>
      <w:szCs w:val="21"/>
    </w:rPr>
  </w:style>
  <w:style w:type="paragraph" w:customStyle="1" w:styleId="a">
    <w:name w:val="章标题"/>
    <w:next w:val="a2"/>
    <w:qFormat/>
    <w:pPr>
      <w:numPr>
        <w:numId w:val="1"/>
      </w:numPr>
      <w:spacing w:beforeLines="100" w:afterLines="100" w:line="259" w:lineRule="auto"/>
      <w:jc w:val="both"/>
      <w:outlineLvl w:val="1"/>
    </w:pPr>
    <w:rPr>
      <w:rFonts w:ascii="黑体" w:eastAsia="黑体" w:cs="Times New Roman"/>
      <w:sz w:val="21"/>
    </w:rPr>
  </w:style>
  <w:style w:type="paragraph" w:customStyle="1" w:styleId="ad">
    <w:name w:val="段"/>
    <w:qFormat/>
    <w:pPr>
      <w:tabs>
        <w:tab w:val="center" w:pos="4201"/>
        <w:tab w:val="right" w:leader="dot" w:pos="9298"/>
      </w:tabs>
      <w:autoSpaceDE w:val="0"/>
      <w:autoSpaceDN w:val="0"/>
      <w:spacing w:after="160" w:line="259" w:lineRule="auto"/>
      <w:ind w:firstLineChars="200" w:firstLine="420"/>
      <w:jc w:val="both"/>
    </w:pPr>
    <w:rPr>
      <w:rFonts w:ascii="宋体" w:eastAsia="仿宋_GB2312" w:cs="Times New Roman"/>
      <w:sz w:val="21"/>
    </w:rPr>
  </w:style>
  <w:style w:type="paragraph" w:customStyle="1" w:styleId="a0">
    <w:name w:val="一级条标题"/>
    <w:next w:val="ad"/>
    <w:qFormat/>
    <w:pPr>
      <w:numPr>
        <w:ilvl w:val="1"/>
        <w:numId w:val="1"/>
      </w:numPr>
      <w:spacing w:beforeLines="50" w:afterLines="50" w:line="259" w:lineRule="auto"/>
      <w:outlineLvl w:val="2"/>
    </w:pPr>
    <w:rPr>
      <w:rFonts w:ascii="黑体" w:eastAsia="黑体" w:cs="Times New Roman"/>
      <w:sz w:val="21"/>
      <w:szCs w:val="21"/>
    </w:rPr>
  </w:style>
  <w:style w:type="paragraph" w:customStyle="1" w:styleId="ae">
    <w:name w:val="二级条标题"/>
    <w:basedOn w:val="a0"/>
    <w:next w:val="ad"/>
    <w:qFormat/>
    <w:pPr>
      <w:spacing w:before="50" w:after="50"/>
      <w:outlineLvl w:val="3"/>
    </w:pPr>
  </w:style>
  <w:style w:type="paragraph" w:customStyle="1" w:styleId="af">
    <w:name w:val="三级条标题"/>
    <w:basedOn w:val="ae"/>
    <w:next w:val="ad"/>
    <w:qFormat/>
    <w:pPr>
      <w:outlineLvl w:val="4"/>
    </w:pPr>
  </w:style>
  <w:style w:type="paragraph" w:customStyle="1" w:styleId="af0">
    <w:name w:val="注：（正文）"/>
    <w:basedOn w:val="a1"/>
    <w:next w:val="ad"/>
    <w:qFormat/>
  </w:style>
  <w:style w:type="paragraph" w:customStyle="1" w:styleId="a1">
    <w:name w:val="注："/>
    <w:next w:val="ad"/>
    <w:qFormat/>
    <w:pPr>
      <w:widowControl w:val="0"/>
      <w:numPr>
        <w:numId w:val="2"/>
      </w:numPr>
      <w:tabs>
        <w:tab w:val="left" w:pos="360"/>
      </w:tabs>
      <w:autoSpaceDE w:val="0"/>
      <w:autoSpaceDN w:val="0"/>
      <w:spacing w:after="160" w:line="259" w:lineRule="auto"/>
      <w:ind w:left="0" w:firstLine="0"/>
      <w:jc w:val="both"/>
    </w:pPr>
    <w:rPr>
      <w:rFonts w:ascii="宋体" w:eastAsia="仿宋_GB2312" w:cs="Times New Roman"/>
      <w:sz w:val="18"/>
      <w:szCs w:val="18"/>
    </w:rPr>
  </w:style>
  <w:style w:type="character" w:customStyle="1" w:styleId="Char2">
    <w:name w:val="批注文字 Char"/>
    <w:basedOn w:val="a3"/>
    <w:qFormat/>
    <w:rPr>
      <w:rFonts w:cs="黑体"/>
      <w:kern w:val="2"/>
      <w:sz w:val="21"/>
      <w:szCs w:val="22"/>
    </w:rPr>
  </w:style>
  <w:style w:type="character" w:customStyle="1" w:styleId="Char1">
    <w:name w:val="批注文字 Char1"/>
    <w:link w:val="a6"/>
    <w:qFormat/>
    <w:rPr>
      <w:rFonts w:ascii="仿宋" w:eastAsia="仿宋_GB2312" w:hAnsi="仿宋" w:cs="Times New Roman"/>
      <w:kern w:val="2"/>
      <w:sz w:val="32"/>
      <w:szCs w:val="22"/>
    </w:rPr>
  </w:style>
  <w:style w:type="character" w:customStyle="1" w:styleId="Char">
    <w:name w:val="批注框文本 Char"/>
    <w:basedOn w:val="a3"/>
    <w:link w:val="a7"/>
    <w:qFormat/>
    <w:rPr>
      <w:rFonts w:cs="黑体"/>
      <w:kern w:val="2"/>
      <w:sz w:val="18"/>
      <w:szCs w:val="18"/>
    </w:rPr>
  </w:style>
  <w:style w:type="character" w:customStyle="1" w:styleId="Char0">
    <w:name w:val="批注主题 Char"/>
    <w:basedOn w:val="Char1"/>
    <w:link w:val="aa"/>
    <w:rPr>
      <w:rFonts w:ascii="仿宋" w:eastAsia="仿宋_GB2312" w:hAnsi="仿宋" w:cs="黑体"/>
      <w:b/>
      <w:bCs/>
      <w:kern w:val="2"/>
      <w:sz w:val="21"/>
      <w:szCs w:val="22"/>
    </w:rPr>
  </w:style>
  <w:style w:type="paragraph" w:styleId="af1">
    <w:name w:val="Revision"/>
    <w:hidden/>
    <w:uiPriority w:val="99"/>
    <w:semiHidden/>
    <w:rsid w:val="00ED5314"/>
    <w:rPr>
      <w:rFonts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www.ccb.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C42BBC-CCCA-407D-AA35-70486FE4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447</Words>
  <Characters>2548</Characters>
  <Application>Microsoft Office Word</Application>
  <DocSecurity>0</DocSecurity>
  <Lines>21</Lines>
  <Paragraphs>5</Paragraphs>
  <ScaleCrop>false</ScaleCrop>
  <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tangqinying</dc:creator>
  <cp:lastModifiedBy>user</cp:lastModifiedBy>
  <cp:revision>161</cp:revision>
  <dcterms:created xsi:type="dcterms:W3CDTF">2020-05-03T03:58:00Z</dcterms:created>
  <dcterms:modified xsi:type="dcterms:W3CDTF">2020-08-06T05:58:00Z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